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83A3F9" w14:textId="77777777" w:rsidR="009B7CA8" w:rsidRDefault="009B7CA8">
      <w:pPr>
        <w:spacing w:line="360" w:lineRule="auto"/>
        <w:rPr>
          <w:rFonts w:ascii="Times New Roman Regular" w:eastAsiaTheme="majorEastAsia" w:hAnsi="Times New Roman Regular" w:cs="Times New Roman Regular"/>
          <w:b/>
          <w:bCs/>
          <w:sz w:val="24"/>
        </w:rPr>
      </w:pPr>
    </w:p>
    <w:p w14:paraId="63366617" w14:textId="77777777" w:rsidR="009B7CA8" w:rsidRDefault="005808F6">
      <w:pPr>
        <w:spacing w:line="360" w:lineRule="auto"/>
        <w:jc w:val="center"/>
        <w:rPr>
          <w:rFonts w:ascii="Times New Roman Regular" w:hAnsi="Times New Roman Regular" w:cs="Times New Roman Regular"/>
          <w:sz w:val="24"/>
        </w:rPr>
      </w:pPr>
      <w:r>
        <w:rPr>
          <w:noProof/>
        </w:rPr>
        <w:drawing>
          <wp:inline distT="0" distB="0" distL="114300" distR="114300" wp14:anchorId="4D47CEE7" wp14:editId="56D94118">
            <wp:extent cx="5274310" cy="6109970"/>
            <wp:effectExtent l="0" t="0" r="8890" b="1143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0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76A01" w14:textId="26E3E52E" w:rsidR="009B7CA8" w:rsidRDefault="005808F6">
      <w:pPr>
        <w:spacing w:line="360" w:lineRule="auto"/>
        <w:rPr>
          <w:rFonts w:ascii="Times New Roman Regular" w:hAnsi="Times New Roman Regular" w:cs="Times New Roman Regular"/>
          <w:b/>
          <w:bCs/>
          <w:sz w:val="24"/>
        </w:rPr>
      </w:pPr>
      <w:r>
        <w:rPr>
          <w:rFonts w:ascii="Times New Roman Regular" w:hAnsi="Times New Roman Regular" w:cs="Times New Roman Regular"/>
          <w:b/>
          <w:bCs/>
          <w:sz w:val="24"/>
        </w:rPr>
        <w:t>Supplementary Fig</w:t>
      </w:r>
      <w:r w:rsidR="005A5A2E">
        <w:rPr>
          <w:rFonts w:ascii="Times New Roman Regular" w:hAnsi="Times New Roman Regular" w:cs="Times New Roman Regular"/>
          <w:b/>
          <w:bCs/>
          <w:sz w:val="24"/>
        </w:rPr>
        <w:t>.</w:t>
      </w:r>
      <w:r>
        <w:rPr>
          <w:rFonts w:ascii="Times New Roman Regular" w:hAnsi="Times New Roman Regular" w:cs="Times New Roman Regular"/>
          <w:b/>
          <w:bCs/>
          <w:sz w:val="24"/>
        </w:rPr>
        <w:t xml:space="preserve"> 1</w:t>
      </w:r>
      <w:r w:rsidR="005A5A2E">
        <w:rPr>
          <w:rFonts w:ascii="Times New Roman Regular" w:hAnsi="Times New Roman Regular" w:cs="Times New Roman Regular"/>
          <w:b/>
          <w:bCs/>
          <w:sz w:val="24"/>
        </w:rPr>
        <w:t>.</w:t>
      </w:r>
      <w:r>
        <w:rPr>
          <w:rFonts w:ascii="Times New Roman Regular" w:hAnsi="Times New Roman Regular" w:cs="Times New Roman Regular"/>
          <w:b/>
          <w:bCs/>
          <w:sz w:val="24"/>
        </w:rPr>
        <w:t xml:space="preserve"> Differential expression profiles of DNA double-strand break repair pathways in niraparib-resistant ovarian cancer cells.</w:t>
      </w:r>
    </w:p>
    <w:p w14:paraId="06AA868D" w14:textId="6ECF50D6" w:rsidR="009B7CA8" w:rsidRDefault="005808F6">
      <w:pPr>
        <w:spacing w:line="360" w:lineRule="auto"/>
        <w:rPr>
          <w:rFonts w:ascii="Times New Roman Regular" w:hAnsi="Times New Roman Regular" w:cs="Times New Roman Regular"/>
          <w:sz w:val="24"/>
        </w:rPr>
      </w:pPr>
      <w:r>
        <w:rPr>
          <w:rFonts w:ascii="Times New Roman Regular" w:hAnsi="Times New Roman Regular" w:cs="Times New Roman Regular"/>
          <w:sz w:val="24"/>
        </w:rPr>
        <w:t xml:space="preserve">(A-C) Heatmaps showing the expression of genes associated with the microhomology-mediated end joining (MMEJ, A), homologous recombination (HR, B), and non-homologous end joining (NHEJ, C) pathways in parental SKOV3 cells and cells treated with niraparib for 2, 3, and 6 months; (D-F) Venn diagrams depicting the overlap between genes within the MMEJ (D), HR (E), and NHEJ (F) pathways and all differentially expressed genes (DEG) in the respective comparison groups; (G-K) Bar </w:t>
      </w:r>
      <w:r>
        <w:rPr>
          <w:rFonts w:ascii="Times New Roman Regular" w:hAnsi="Times New Roman Regular" w:cs="Times New Roman Regular"/>
          <w:sz w:val="24"/>
        </w:rPr>
        <w:lastRenderedPageBreak/>
        <w:t>graphs showing log</w:t>
      </w:r>
      <w:r>
        <w:rPr>
          <w:rFonts w:ascii="Times New Roman Regular" w:hAnsi="Times New Roman Regular" w:cs="Times New Roman Regular"/>
          <w:sz w:val="24"/>
          <w:vertAlign w:val="subscript"/>
        </w:rPr>
        <w:t>2</w:t>
      </w:r>
      <w:r>
        <w:rPr>
          <w:rFonts w:ascii="Times New Roman Regular" w:hAnsi="Times New Roman Regular" w:cs="Times New Roman Regular"/>
          <w:sz w:val="24"/>
        </w:rPr>
        <w:t>-transformed transcripts per million + 1 (log</w:t>
      </w:r>
      <w:r>
        <w:rPr>
          <w:rFonts w:ascii="Times New Roman Regular" w:hAnsi="Times New Roman Regular" w:cs="Times New Roman Regular"/>
          <w:sz w:val="24"/>
          <w:vertAlign w:val="subscript"/>
        </w:rPr>
        <w:t>2</w:t>
      </w:r>
      <w:r>
        <w:rPr>
          <w:rFonts w:ascii="Times New Roman Regular" w:hAnsi="Times New Roman Regular" w:cs="Times New Roman Regular"/>
          <w:sz w:val="24"/>
        </w:rPr>
        <w:t xml:space="preserve"> TPM+1) levels of </w:t>
      </w:r>
      <w:r>
        <w:rPr>
          <w:rFonts w:ascii="Times New Roman Italic" w:hAnsi="Times New Roman Italic" w:cs="Times New Roman Italic"/>
          <w:i/>
          <w:iCs/>
          <w:sz w:val="24"/>
        </w:rPr>
        <w:t>POLQ</w:t>
      </w:r>
      <w:r>
        <w:rPr>
          <w:rFonts w:ascii="Times New Roman Regular" w:hAnsi="Times New Roman Regular" w:cs="Times New Roman Regular"/>
          <w:sz w:val="24"/>
        </w:rPr>
        <w:t xml:space="preserve"> (G), </w:t>
      </w:r>
      <w:r>
        <w:rPr>
          <w:rFonts w:ascii="Times New Roman Italic" w:hAnsi="Times New Roman Italic" w:cs="Times New Roman Italic"/>
          <w:i/>
          <w:iCs/>
          <w:sz w:val="24"/>
        </w:rPr>
        <w:t>BRCA2</w:t>
      </w:r>
      <w:r>
        <w:rPr>
          <w:rFonts w:ascii="Times New Roman Regular" w:hAnsi="Times New Roman Regular" w:cs="Times New Roman Regular"/>
          <w:sz w:val="24"/>
        </w:rPr>
        <w:t xml:space="preserve"> (H), </w:t>
      </w:r>
      <w:r>
        <w:rPr>
          <w:rFonts w:ascii="Times New Roman Italic" w:hAnsi="Times New Roman Italic" w:cs="Times New Roman Italic"/>
          <w:i/>
          <w:iCs/>
          <w:sz w:val="24"/>
        </w:rPr>
        <w:t>H2BC8</w:t>
      </w:r>
      <w:r>
        <w:rPr>
          <w:rFonts w:ascii="Times New Roman Regular" w:hAnsi="Times New Roman Regular" w:cs="Times New Roman Regular"/>
          <w:sz w:val="24"/>
        </w:rPr>
        <w:t xml:space="preserve"> (I),</w:t>
      </w:r>
      <w:r>
        <w:rPr>
          <w:rFonts w:ascii="Times New Roman Italic" w:hAnsi="Times New Roman Italic" w:cs="Times New Roman Italic"/>
          <w:i/>
          <w:iCs/>
          <w:sz w:val="24"/>
        </w:rPr>
        <w:t xml:space="preserve"> H4C5</w:t>
      </w:r>
      <w:r>
        <w:rPr>
          <w:rFonts w:ascii="Times New Roman Regular" w:hAnsi="Times New Roman Regular" w:cs="Times New Roman Regular"/>
          <w:sz w:val="24"/>
        </w:rPr>
        <w:t xml:space="preserve"> (J), and </w:t>
      </w:r>
      <w:r>
        <w:rPr>
          <w:rFonts w:ascii="Times New Roman Italic" w:hAnsi="Times New Roman Italic" w:cs="Times New Roman Italic"/>
          <w:i/>
          <w:iCs/>
          <w:sz w:val="24"/>
        </w:rPr>
        <w:t>H4C3</w:t>
      </w:r>
      <w:r>
        <w:rPr>
          <w:rFonts w:ascii="Times New Roman Regular" w:hAnsi="Times New Roman Regular" w:cs="Times New Roman Regular"/>
          <w:sz w:val="24"/>
        </w:rPr>
        <w:t xml:space="preserve"> (K) in SKOV3 cells treated with niraparib for the indicated durations (2, 3, 6 months), normalized to parental cells. ns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 xml:space="preserve">&gt; 0.05; *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 xml:space="preserve">&lt; 0.05; **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>&lt; 0.01.</w:t>
      </w:r>
    </w:p>
    <w:p w14:paraId="56F88F0F" w14:textId="77777777" w:rsidR="009B7CA8" w:rsidRDefault="005808F6">
      <w:pPr>
        <w:spacing w:line="360" w:lineRule="auto"/>
        <w:rPr>
          <w:rFonts w:ascii="Times New Roman Regular" w:hAnsi="Times New Roman Regular" w:cs="Times New Roman Regular"/>
          <w:sz w:val="24"/>
        </w:rPr>
      </w:pPr>
      <w:r>
        <w:rPr>
          <w:noProof/>
        </w:rPr>
        <w:drawing>
          <wp:inline distT="0" distB="0" distL="114300" distR="114300" wp14:anchorId="67A31301" wp14:editId="761CECAB">
            <wp:extent cx="5272405" cy="7493000"/>
            <wp:effectExtent l="0" t="0" r="10795" b="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5295D" w14:textId="6CBB3417" w:rsidR="009B7CA8" w:rsidRDefault="005808F6">
      <w:pPr>
        <w:spacing w:line="360" w:lineRule="auto"/>
        <w:rPr>
          <w:rFonts w:ascii="Times New Roman Regular" w:hAnsi="Times New Roman Regular" w:cs="Times New Roman Regular"/>
          <w:b/>
          <w:bCs/>
          <w:sz w:val="24"/>
        </w:rPr>
      </w:pPr>
      <w:r>
        <w:rPr>
          <w:rFonts w:ascii="Times New Roman Regular" w:hAnsi="Times New Roman Regular" w:cs="Times New Roman Regular"/>
          <w:b/>
          <w:bCs/>
          <w:sz w:val="24"/>
        </w:rPr>
        <w:lastRenderedPageBreak/>
        <w:t>Supplementary Fig</w:t>
      </w:r>
      <w:r w:rsidR="005A5A2E">
        <w:rPr>
          <w:rFonts w:ascii="Times New Roman Regular" w:hAnsi="Times New Roman Regular" w:cs="Times New Roman Regular"/>
          <w:b/>
          <w:bCs/>
          <w:sz w:val="24"/>
        </w:rPr>
        <w:t>.</w:t>
      </w:r>
      <w:r>
        <w:rPr>
          <w:rFonts w:ascii="Times New Roman Regular" w:hAnsi="Times New Roman Regular" w:cs="Times New Roman Regular"/>
          <w:b/>
          <w:bCs/>
          <w:sz w:val="24"/>
        </w:rPr>
        <w:t xml:space="preserve"> 2</w:t>
      </w:r>
      <w:r w:rsidR="005A5A2E">
        <w:rPr>
          <w:rFonts w:ascii="Times New Roman Regular" w:hAnsi="Times New Roman Regular" w:cs="Times New Roman Regular"/>
          <w:b/>
          <w:bCs/>
          <w:sz w:val="24"/>
        </w:rPr>
        <w:t>.</w:t>
      </w:r>
      <w:r>
        <w:rPr>
          <w:rFonts w:ascii="Times New Roman Regular" w:hAnsi="Times New Roman Regular" w:cs="Times New Roman Regular"/>
          <w:b/>
          <w:bCs/>
          <w:sz w:val="24"/>
        </w:rPr>
        <w:t xml:space="preserve"> Differential expression of DNA single-strand break repair pathways in niraparib-resistant ovarian cancer cells.</w:t>
      </w:r>
    </w:p>
    <w:p w14:paraId="2D609261" w14:textId="77777777" w:rsidR="009B7CA8" w:rsidRDefault="005808F6">
      <w:pPr>
        <w:spacing w:line="360" w:lineRule="auto"/>
        <w:rPr>
          <w:rFonts w:ascii="Times New Roman Regular" w:hAnsi="Times New Roman Regular" w:cs="Times New Roman Regular"/>
          <w:sz w:val="24"/>
        </w:rPr>
      </w:pPr>
      <w:r>
        <w:rPr>
          <w:rFonts w:ascii="Times New Roman Regular" w:hAnsi="Times New Roman Regular" w:cs="Times New Roman Regular"/>
          <w:sz w:val="24"/>
        </w:rPr>
        <w:t>(A–C) Heatmaps showing the expression of genes associated with the nucleotide excision repair (NER, A), base excision repair (</w:t>
      </w:r>
      <w:r>
        <w:rPr>
          <w:rFonts w:ascii="Times New Roman" w:hAnsi="Times New Roman"/>
          <w:sz w:val="24"/>
        </w:rPr>
        <w:t>BER</w:t>
      </w:r>
      <w:r>
        <w:rPr>
          <w:rFonts w:ascii="Times New Roman Regular" w:hAnsi="Times New Roman Regular" w:cs="Times New Roman Regular"/>
          <w:sz w:val="24"/>
        </w:rPr>
        <w:t>, B), and mismatch repair (MMR, C) pathways in parental SKOV3 cells and cells treated with niraparib for 2, 3, and 6 months.; (D–F) Venn diagrams depicting the overlap between genes within the</w:t>
      </w:r>
      <w:r>
        <w:rPr>
          <w:rFonts w:ascii="Times New Roman" w:hAnsi="Times New Roman"/>
          <w:sz w:val="24"/>
        </w:rPr>
        <w:t xml:space="preserve"> NER </w:t>
      </w:r>
      <w:r>
        <w:rPr>
          <w:rFonts w:ascii="Times New Roman Regular" w:hAnsi="Times New Roman Regular" w:cs="Times New Roman Regular"/>
          <w:sz w:val="24"/>
        </w:rPr>
        <w:t xml:space="preserve">(D), </w:t>
      </w:r>
      <w:r>
        <w:rPr>
          <w:rFonts w:ascii="Times New Roman" w:hAnsi="Times New Roman"/>
          <w:sz w:val="24"/>
        </w:rPr>
        <w:t>BER</w:t>
      </w:r>
      <w:r>
        <w:rPr>
          <w:rFonts w:ascii="Times New Roman Regular" w:hAnsi="Times New Roman Regular" w:cs="Times New Roman Regular"/>
          <w:sz w:val="24"/>
        </w:rPr>
        <w:t xml:space="preserve"> (E), and </w:t>
      </w:r>
      <w:r>
        <w:rPr>
          <w:rFonts w:ascii="Times New Roman" w:hAnsi="Times New Roman"/>
          <w:sz w:val="24"/>
        </w:rPr>
        <w:t>MMR</w:t>
      </w:r>
      <w:r>
        <w:rPr>
          <w:rFonts w:ascii="Times New Roman Regular" w:hAnsi="Times New Roman Regular" w:cs="Times New Roman Regular"/>
          <w:sz w:val="24"/>
        </w:rPr>
        <w:t xml:space="preserve"> (F) pathways and all differentially expressed genes (DEG) in the respective comparison groups; (G–H) Box plots showing log</w:t>
      </w:r>
      <w:r>
        <w:rPr>
          <w:rFonts w:ascii="Times New Roman Regular" w:hAnsi="Times New Roman Regular" w:cs="Times New Roman Regular"/>
          <w:sz w:val="24"/>
          <w:vertAlign w:val="subscript"/>
        </w:rPr>
        <w:t>2</w:t>
      </w:r>
      <w:r>
        <w:rPr>
          <w:rFonts w:ascii="Times New Roman Regular" w:hAnsi="Times New Roman Regular" w:cs="Times New Roman Regular"/>
          <w:sz w:val="24"/>
        </w:rPr>
        <w:t>-transformed transcripts per million + 1 (log</w:t>
      </w:r>
      <w:r>
        <w:rPr>
          <w:rFonts w:ascii="Times New Roman Regular" w:hAnsi="Times New Roman Regular" w:cs="Times New Roman Regular"/>
          <w:sz w:val="24"/>
          <w:vertAlign w:val="subscript"/>
        </w:rPr>
        <w:t>2</w:t>
      </w:r>
      <w:r>
        <w:rPr>
          <w:rFonts w:ascii="Times New Roman Regular" w:hAnsi="Times New Roman Regular" w:cs="Times New Roman Regular"/>
          <w:sz w:val="24"/>
        </w:rPr>
        <w:t xml:space="preserve"> TPM+1) levels of </w:t>
      </w:r>
      <w:r>
        <w:rPr>
          <w:rFonts w:ascii="Times New Roman Italic" w:hAnsi="Times New Roman Italic" w:cs="Times New Roman Italic"/>
          <w:i/>
          <w:iCs/>
          <w:sz w:val="24"/>
        </w:rPr>
        <w:t>POLR2I</w:t>
      </w:r>
      <w:r>
        <w:rPr>
          <w:rFonts w:ascii="Times New Roman Regular" w:hAnsi="Times New Roman Regular" w:cs="Times New Roman Regular"/>
          <w:sz w:val="24"/>
        </w:rPr>
        <w:t xml:space="preserve"> (G) and </w:t>
      </w:r>
      <w:r>
        <w:rPr>
          <w:rFonts w:ascii="Times New Roman Italic" w:hAnsi="Times New Roman Italic" w:cs="Times New Roman Italic"/>
          <w:i/>
          <w:iCs/>
          <w:sz w:val="24"/>
        </w:rPr>
        <w:t>H2AC20</w:t>
      </w:r>
      <w:r>
        <w:rPr>
          <w:rFonts w:ascii="Times New Roman Regular" w:hAnsi="Times New Roman Regular" w:cs="Times New Roman Regular"/>
          <w:sz w:val="24"/>
        </w:rPr>
        <w:t xml:space="preserve"> (H) in SKOV3 cells treated with niraparib for the indicated durations (2, 3, 6 months), normalized to parental cells. ns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 xml:space="preserve">&gt; 0.05; *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>&lt; 0.05.</w:t>
      </w:r>
    </w:p>
    <w:p w14:paraId="6CDC528D" w14:textId="77777777" w:rsidR="009B7CA8" w:rsidRDefault="009B7CA8">
      <w:pPr>
        <w:spacing w:line="360" w:lineRule="auto"/>
        <w:rPr>
          <w:rFonts w:ascii="Times New Roman Regular" w:hAnsi="Times New Roman Regular" w:cs="Times New Roman Regular"/>
          <w:sz w:val="24"/>
        </w:rPr>
      </w:pPr>
    </w:p>
    <w:p w14:paraId="5B57D7B8" w14:textId="77777777" w:rsidR="009B7CA8" w:rsidRDefault="005808F6">
      <w:pPr>
        <w:spacing w:line="360" w:lineRule="auto"/>
        <w:rPr>
          <w:rFonts w:ascii="Times New Roman Regular" w:hAnsi="Times New Roman Regular" w:cs="Times New Roman Regular"/>
          <w:sz w:val="24"/>
        </w:rPr>
      </w:pPr>
      <w:r>
        <w:rPr>
          <w:noProof/>
        </w:rPr>
        <w:drawing>
          <wp:inline distT="0" distB="0" distL="114300" distR="114300" wp14:anchorId="4EB05E1F" wp14:editId="5F17AACB">
            <wp:extent cx="5270500" cy="5189220"/>
            <wp:effectExtent l="0" t="0" r="12700" b="17780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18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B8848" w14:textId="50F5C635" w:rsidR="009B7CA8" w:rsidRDefault="005808F6">
      <w:pPr>
        <w:spacing w:line="360" w:lineRule="auto"/>
        <w:rPr>
          <w:rFonts w:ascii="Times New Roman Regular" w:hAnsi="Times New Roman Regular" w:cs="Times New Roman Regular"/>
          <w:sz w:val="24"/>
        </w:rPr>
      </w:pPr>
      <w:r>
        <w:rPr>
          <w:rFonts w:ascii="Times New Roman Regular" w:hAnsi="Times New Roman Regular" w:cs="Times New Roman Regular"/>
          <w:b/>
          <w:bCs/>
          <w:sz w:val="24"/>
        </w:rPr>
        <w:lastRenderedPageBreak/>
        <w:t>Supplementary Fig</w:t>
      </w:r>
      <w:r w:rsidR="005A5A2E">
        <w:rPr>
          <w:rFonts w:ascii="Times New Roman Regular" w:hAnsi="Times New Roman Regular" w:cs="Times New Roman Regular"/>
          <w:b/>
          <w:bCs/>
          <w:sz w:val="24"/>
        </w:rPr>
        <w:t>.</w:t>
      </w:r>
      <w:r>
        <w:rPr>
          <w:rFonts w:ascii="Times New Roman Regular" w:hAnsi="Times New Roman Regular" w:cs="Times New Roman Regular"/>
          <w:b/>
          <w:bCs/>
          <w:sz w:val="24"/>
        </w:rPr>
        <w:t xml:space="preserve"> 3</w:t>
      </w:r>
      <w:r w:rsidR="005A5A2E">
        <w:rPr>
          <w:rFonts w:ascii="Times New Roman Regular" w:hAnsi="Times New Roman Regular" w:cs="Times New Roman Regular"/>
          <w:b/>
          <w:bCs/>
          <w:sz w:val="24"/>
        </w:rPr>
        <w:t>.</w:t>
      </w:r>
      <w:r>
        <w:rPr>
          <w:rFonts w:ascii="Times New Roman Regular" w:hAnsi="Times New Roman Regular" w:cs="Times New Roman Regular"/>
          <w:b/>
          <w:bCs/>
          <w:sz w:val="24"/>
        </w:rPr>
        <w:t xml:space="preserve"> Expression changes of transmembrane transport pathway-related genes in ovarian cancer cells treated with niraparib for different durations.</w:t>
      </w:r>
    </w:p>
    <w:p w14:paraId="73A81535" w14:textId="77777777" w:rsidR="009B7CA8" w:rsidRDefault="005808F6">
      <w:pPr>
        <w:numPr>
          <w:ilvl w:val="0"/>
          <w:numId w:val="1"/>
        </w:numPr>
        <w:spacing w:line="360" w:lineRule="auto"/>
        <w:rPr>
          <w:rFonts w:ascii="Times New Roman Regular" w:hAnsi="Times New Roman Regular" w:cs="Times New Roman Regular"/>
          <w:sz w:val="24"/>
        </w:rPr>
      </w:pPr>
      <w:r>
        <w:rPr>
          <w:rFonts w:ascii="Times New Roman Regular" w:hAnsi="Times New Roman Regular" w:cs="Times New Roman Regular"/>
          <w:sz w:val="24"/>
        </w:rPr>
        <w:t>Venn diagram depicting the overlap between transmembrane transport pathway-related genes and all differentially expressed genes (DEG) in the SKOV3 cell models (treated with niraparib for 2, 3, and 6 months); (B) Heatmap showing the log</w:t>
      </w:r>
      <w:r>
        <w:rPr>
          <w:rFonts w:ascii="Times New Roman Regular" w:hAnsi="Times New Roman Regular" w:cs="Times New Roman Regular"/>
          <w:sz w:val="24"/>
          <w:vertAlign w:val="subscript"/>
        </w:rPr>
        <w:t>2</w:t>
      </w:r>
      <w:r>
        <w:rPr>
          <w:rFonts w:ascii="Times New Roman Regular" w:hAnsi="Times New Roman Regular" w:cs="Times New Roman Regular"/>
          <w:sz w:val="24"/>
        </w:rPr>
        <w:t>-transformed transcripts per million + 1 (log</w:t>
      </w:r>
      <w:r>
        <w:rPr>
          <w:rFonts w:ascii="Times New Roman Regular" w:hAnsi="Times New Roman Regular" w:cs="Times New Roman Regular"/>
          <w:sz w:val="24"/>
          <w:vertAlign w:val="subscript"/>
        </w:rPr>
        <w:t>2</w:t>
      </w:r>
      <w:r>
        <w:rPr>
          <w:rFonts w:ascii="Times New Roman Regular" w:hAnsi="Times New Roman Regular" w:cs="Times New Roman Regular"/>
          <w:sz w:val="24"/>
        </w:rPr>
        <w:t xml:space="preserve"> TPM+1) levels of 54 transmembrane transport pathway-related DEG in SKOV3 cells treated with niraparib for 2, 3, and 6 months; (C) The top 10 DEG ranked by their median expression levels in descending order; (D-M) Box plots showing log</w:t>
      </w:r>
      <w:r>
        <w:rPr>
          <w:rFonts w:ascii="Times New Roman Regular" w:hAnsi="Times New Roman Regular" w:cs="Times New Roman Regular"/>
          <w:sz w:val="24"/>
          <w:vertAlign w:val="subscript"/>
        </w:rPr>
        <w:t>2</w:t>
      </w:r>
      <w:r>
        <w:rPr>
          <w:rFonts w:ascii="Times New Roman Regular" w:hAnsi="Times New Roman Regular" w:cs="Times New Roman Regular"/>
          <w:sz w:val="24"/>
        </w:rPr>
        <w:t xml:space="preserve"> TPM+1 levels of </w:t>
      </w:r>
      <w:r>
        <w:rPr>
          <w:rFonts w:ascii="Times New Roman Italic" w:hAnsi="Times New Roman Italic" w:cs="Times New Roman Italic"/>
          <w:i/>
          <w:iCs/>
          <w:sz w:val="24"/>
        </w:rPr>
        <w:t>MCL</w:t>
      </w:r>
      <w:r>
        <w:rPr>
          <w:rFonts w:ascii="Times New Roman Regular" w:hAnsi="Times New Roman Regular" w:cs="Times New Roman Regular"/>
          <w:sz w:val="24"/>
        </w:rPr>
        <w:t xml:space="preserve"> (D), </w:t>
      </w:r>
      <w:r>
        <w:rPr>
          <w:rFonts w:ascii="Times New Roman Regular" w:hAnsi="Times New Roman Regular" w:cs="Times New Roman Regular" w:hint="eastAsia"/>
          <w:i/>
          <w:sz w:val="24"/>
        </w:rPr>
        <w:t>S100A10</w:t>
      </w:r>
      <w:r>
        <w:rPr>
          <w:rFonts w:ascii="Times New Roman Regular" w:hAnsi="Times New Roman Regular" w:cs="Times New Roman Regular"/>
          <w:sz w:val="24"/>
        </w:rPr>
        <w:t xml:space="preserve"> (E), </w:t>
      </w:r>
      <w:r>
        <w:rPr>
          <w:rFonts w:ascii="Times New Roman Italic" w:hAnsi="Times New Roman Italic" w:cs="Times New Roman Italic"/>
          <w:i/>
          <w:iCs/>
          <w:sz w:val="24"/>
        </w:rPr>
        <w:t xml:space="preserve">DOIT3 </w:t>
      </w:r>
      <w:r>
        <w:rPr>
          <w:rFonts w:ascii="Times New Roman Regular" w:hAnsi="Times New Roman Regular" w:cs="Times New Roman Regular"/>
          <w:sz w:val="24"/>
        </w:rPr>
        <w:t xml:space="preserve">(F), </w:t>
      </w:r>
      <w:r>
        <w:rPr>
          <w:rFonts w:ascii="Times New Roman Italic" w:hAnsi="Times New Roman Italic" w:cs="Times New Roman Italic"/>
          <w:i/>
          <w:iCs/>
          <w:sz w:val="24"/>
        </w:rPr>
        <w:t xml:space="preserve">FGF2 </w:t>
      </w:r>
      <w:r>
        <w:rPr>
          <w:rFonts w:ascii="Times New Roman Regular" w:hAnsi="Times New Roman Regular" w:cs="Times New Roman Regular"/>
          <w:sz w:val="24"/>
        </w:rPr>
        <w:t xml:space="preserve">(G), </w:t>
      </w:r>
      <w:r>
        <w:rPr>
          <w:rFonts w:ascii="Times New Roman Italic" w:hAnsi="Times New Roman Italic" w:cs="Times New Roman Italic"/>
          <w:i/>
          <w:sz w:val="24"/>
        </w:rPr>
        <w:t>THBS1</w:t>
      </w:r>
      <w:r>
        <w:rPr>
          <w:rFonts w:ascii="Times New Roman Regular" w:hAnsi="Times New Roman Regular" w:cs="Times New Roman Regular"/>
          <w:sz w:val="24"/>
        </w:rPr>
        <w:t xml:space="preserve"> (H), </w:t>
      </w:r>
      <w:r>
        <w:rPr>
          <w:rFonts w:ascii="Times New Roman Italic" w:hAnsi="Times New Roman Italic" w:cs="Times New Roman Italic"/>
          <w:i/>
          <w:iCs/>
          <w:sz w:val="24"/>
        </w:rPr>
        <w:t>PIM1</w:t>
      </w:r>
      <w:r>
        <w:rPr>
          <w:rFonts w:ascii="Times New Roman Regular" w:hAnsi="Times New Roman Regular" w:cs="Times New Roman Regular"/>
          <w:sz w:val="24"/>
        </w:rPr>
        <w:t xml:space="preserve"> (I), </w:t>
      </w:r>
      <w:r>
        <w:rPr>
          <w:rFonts w:ascii="Times New Roman Italic" w:hAnsi="Times New Roman Italic" w:cs="Times New Roman Italic"/>
          <w:i/>
          <w:iCs/>
          <w:sz w:val="24"/>
        </w:rPr>
        <w:t>MIR186</w:t>
      </w:r>
      <w:r>
        <w:rPr>
          <w:rFonts w:ascii="Times New Roman Regular" w:hAnsi="Times New Roman Regular" w:cs="Times New Roman Regular"/>
          <w:sz w:val="24"/>
        </w:rPr>
        <w:t xml:space="preserve"> (J), </w:t>
      </w:r>
      <w:r>
        <w:rPr>
          <w:rFonts w:ascii="Times New Roman Italic" w:hAnsi="Times New Roman Italic" w:cs="Times New Roman Italic"/>
          <w:i/>
          <w:iCs/>
          <w:sz w:val="24"/>
        </w:rPr>
        <w:t>ADRB2</w:t>
      </w:r>
      <w:r>
        <w:rPr>
          <w:rFonts w:ascii="Times New Roman Regular" w:hAnsi="Times New Roman Regular" w:cs="Times New Roman Regular"/>
          <w:sz w:val="24"/>
        </w:rPr>
        <w:t xml:space="preserve"> (K), </w:t>
      </w:r>
      <w:r>
        <w:rPr>
          <w:rFonts w:ascii="Times New Roman Italic" w:hAnsi="Times New Roman Italic" w:cs="Times New Roman Italic"/>
          <w:i/>
          <w:iCs/>
          <w:sz w:val="24"/>
        </w:rPr>
        <w:t xml:space="preserve">SERINGC5 </w:t>
      </w:r>
      <w:r>
        <w:rPr>
          <w:rFonts w:ascii="Times New Roman Regular" w:hAnsi="Times New Roman Regular" w:cs="Times New Roman Regular"/>
          <w:sz w:val="24"/>
        </w:rPr>
        <w:t xml:space="preserve">(L), and </w:t>
      </w:r>
      <w:r>
        <w:rPr>
          <w:rFonts w:ascii="Times New Roman Regular" w:hAnsi="Times New Roman Regular" w:cs="Times New Roman Regular" w:hint="eastAsia"/>
          <w:i/>
          <w:sz w:val="24"/>
        </w:rPr>
        <w:t>SLC43A3</w:t>
      </w:r>
      <w:r>
        <w:rPr>
          <w:rFonts w:ascii="Times New Roman Regular" w:hAnsi="Times New Roman Regular" w:cs="Times New Roman Regular"/>
          <w:sz w:val="24"/>
        </w:rPr>
        <w:t xml:space="preserve"> (M) in SKOV3 cells treated with niraparib for the indicated durations, normalized to parental cells. ns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 xml:space="preserve">&gt; 0.05; *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 xml:space="preserve">&lt; 0.05; **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 xml:space="preserve">&lt; 0.01; ***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 xml:space="preserve">&lt; 0.001; ****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>&lt; 0.0001</w:t>
      </w:r>
      <w:r>
        <w:rPr>
          <w:rFonts w:ascii="Times New Roman Regular" w:hAnsi="Times New Roman Regular" w:cs="Times New Roman Regular" w:hint="eastAsia"/>
          <w:sz w:val="24"/>
        </w:rPr>
        <w:t>.</w:t>
      </w:r>
    </w:p>
    <w:p w14:paraId="12429768" w14:textId="77777777" w:rsidR="009B7CA8" w:rsidRDefault="009B7CA8">
      <w:pPr>
        <w:numPr>
          <w:ilvl w:val="255"/>
          <w:numId w:val="0"/>
        </w:numPr>
        <w:spacing w:line="360" w:lineRule="auto"/>
        <w:rPr>
          <w:rFonts w:ascii="Times New Roman Regular" w:hAnsi="Times New Roman Regular" w:cs="Times New Roman Regular"/>
          <w:sz w:val="24"/>
        </w:rPr>
      </w:pPr>
    </w:p>
    <w:p w14:paraId="1FB71BB8" w14:textId="77777777" w:rsidR="009B7CA8" w:rsidRDefault="005808F6">
      <w:pPr>
        <w:spacing w:line="360" w:lineRule="auto"/>
        <w:rPr>
          <w:rFonts w:ascii="Times New Roman Regular" w:hAnsi="Times New Roman Regular" w:cs="Times New Roman Regular"/>
          <w:sz w:val="24"/>
        </w:rPr>
      </w:pPr>
      <w:r>
        <w:rPr>
          <w:noProof/>
        </w:rPr>
        <w:lastRenderedPageBreak/>
        <w:drawing>
          <wp:inline distT="0" distB="0" distL="114300" distR="114300" wp14:anchorId="2A001E4A" wp14:editId="6196CFFA">
            <wp:extent cx="5267960" cy="5750560"/>
            <wp:effectExtent l="0" t="0" r="15240" b="1524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75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F1864" w14:textId="77777777" w:rsidR="009B7CA8" w:rsidRDefault="009B7CA8">
      <w:pPr>
        <w:spacing w:line="360" w:lineRule="auto"/>
        <w:rPr>
          <w:rFonts w:ascii="Times New Roman Regular" w:hAnsi="Times New Roman Regular" w:cs="Times New Roman Regular"/>
          <w:sz w:val="24"/>
        </w:rPr>
      </w:pPr>
    </w:p>
    <w:p w14:paraId="2E479729" w14:textId="5F315180" w:rsidR="009B7CA8" w:rsidRDefault="005808F6">
      <w:pPr>
        <w:spacing w:line="360" w:lineRule="auto"/>
        <w:rPr>
          <w:rFonts w:ascii="Times New Roman Regular" w:hAnsi="Times New Roman Regular" w:cs="Times New Roman Regular"/>
          <w:sz w:val="24"/>
        </w:rPr>
      </w:pPr>
      <w:r>
        <w:rPr>
          <w:rFonts w:ascii="Times New Roman Regular" w:hAnsi="Times New Roman Regular" w:cs="Times New Roman Regular"/>
          <w:b/>
          <w:bCs/>
          <w:sz w:val="24"/>
        </w:rPr>
        <w:t>Supplementary Fig</w:t>
      </w:r>
      <w:r w:rsidR="005A5A2E">
        <w:rPr>
          <w:rFonts w:ascii="Times New Roman Regular" w:hAnsi="Times New Roman Regular" w:cs="Times New Roman Regular"/>
          <w:b/>
          <w:bCs/>
          <w:sz w:val="24"/>
        </w:rPr>
        <w:t>.</w:t>
      </w:r>
      <w:r>
        <w:rPr>
          <w:rFonts w:ascii="Times New Roman Regular" w:hAnsi="Times New Roman Regular" w:cs="Times New Roman Regular"/>
          <w:b/>
          <w:bCs/>
          <w:sz w:val="24"/>
        </w:rPr>
        <w:t xml:space="preserve"> 4</w:t>
      </w:r>
      <w:r w:rsidR="005A5A2E">
        <w:rPr>
          <w:rFonts w:ascii="Times New Roman Regular" w:hAnsi="Times New Roman Regular" w:cs="Times New Roman Regular"/>
          <w:b/>
          <w:bCs/>
          <w:sz w:val="24"/>
        </w:rPr>
        <w:t>.</w:t>
      </w:r>
      <w:r>
        <w:rPr>
          <w:rFonts w:ascii="Times New Roman Regular" w:hAnsi="Times New Roman Regular" w:cs="Times New Roman Regular"/>
          <w:b/>
          <w:bCs/>
          <w:sz w:val="24"/>
        </w:rPr>
        <w:t xml:space="preserve"> Expression changes of cell cycle checkpoint pathway genes in ovarian cancer cells treated with niraparib for different durations.</w:t>
      </w:r>
    </w:p>
    <w:p w14:paraId="0B7EC9C7" w14:textId="77777777" w:rsidR="009B7CA8" w:rsidRDefault="005808F6">
      <w:pPr>
        <w:spacing w:line="360" w:lineRule="auto"/>
        <w:rPr>
          <w:rFonts w:ascii="Times New Roman Regular" w:hAnsi="Times New Roman Regular" w:cs="Times New Roman Regular"/>
          <w:sz w:val="24"/>
        </w:rPr>
      </w:pPr>
      <w:r>
        <w:rPr>
          <w:rFonts w:ascii="Times New Roman Regular" w:hAnsi="Times New Roman Regular" w:cs="Times New Roman Regular"/>
          <w:sz w:val="24"/>
        </w:rPr>
        <w:t>(A) Venn diagram depicting the overlap between cell cycle checkpoint pathway genes and all differentially expressed genes (DEG) in the SKOV3 cell models (treated with niraparib for 2, 3, and 6 months); (B) Heatmap showing the normalized expression of 19 cell cycle checkpoint pathway-related DEG in SKOV3 cells treated with niraparib for 2, 3, and 6 months; (C) Ranking of the aforementioned 19 DEG based on their median expression levels in descending order; (D-S) Box plots showing log</w:t>
      </w:r>
      <w:r>
        <w:rPr>
          <w:rFonts w:ascii="Times New Roman Regular" w:hAnsi="Times New Roman Regular" w:cs="Times New Roman Regular"/>
          <w:sz w:val="24"/>
          <w:vertAlign w:val="subscript"/>
        </w:rPr>
        <w:t>2</w:t>
      </w:r>
      <w:r>
        <w:rPr>
          <w:rFonts w:ascii="Times New Roman Regular" w:hAnsi="Times New Roman Regular" w:cs="Times New Roman Regular"/>
          <w:sz w:val="24"/>
        </w:rPr>
        <w:t>-transformed transcripts per million + 1 (log</w:t>
      </w:r>
      <w:r>
        <w:rPr>
          <w:rFonts w:ascii="Times New Roman Regular" w:hAnsi="Times New Roman Regular" w:cs="Times New Roman Regular"/>
          <w:sz w:val="24"/>
          <w:vertAlign w:val="subscript"/>
        </w:rPr>
        <w:t>2</w:t>
      </w:r>
      <w:r>
        <w:rPr>
          <w:rFonts w:ascii="Times New Roman Regular" w:hAnsi="Times New Roman Regular" w:cs="Times New Roman Regular"/>
          <w:sz w:val="24"/>
        </w:rPr>
        <w:t xml:space="preserve"> TPM+1) levels of </w:t>
      </w:r>
      <w:r>
        <w:rPr>
          <w:rFonts w:ascii="Times New Roman Italic" w:hAnsi="Times New Roman Italic" w:cs="Times New Roman Italic"/>
          <w:i/>
          <w:iCs/>
          <w:sz w:val="24"/>
        </w:rPr>
        <w:t xml:space="preserve">BIRC5 </w:t>
      </w:r>
      <w:r>
        <w:rPr>
          <w:rFonts w:ascii="Times New Roman Regular" w:hAnsi="Times New Roman Regular" w:cs="Times New Roman Regular"/>
          <w:sz w:val="24"/>
        </w:rPr>
        <w:t xml:space="preserve">(D), </w:t>
      </w:r>
      <w:r>
        <w:rPr>
          <w:rFonts w:ascii="Times New Roman Italic" w:hAnsi="Times New Roman Italic" w:cs="Times New Roman Italic"/>
          <w:i/>
          <w:iCs/>
          <w:sz w:val="24"/>
        </w:rPr>
        <w:t>CDCA8</w:t>
      </w:r>
      <w:r>
        <w:rPr>
          <w:rFonts w:ascii="Times New Roman Regular" w:hAnsi="Times New Roman Regular" w:cs="Times New Roman Regular"/>
          <w:sz w:val="24"/>
        </w:rPr>
        <w:t xml:space="preserve"> (E), </w:t>
      </w:r>
      <w:r>
        <w:rPr>
          <w:rFonts w:ascii="Times New Roman Italic" w:hAnsi="Times New Roman Italic" w:cs="Times New Roman Italic"/>
          <w:i/>
          <w:iCs/>
          <w:sz w:val="24"/>
        </w:rPr>
        <w:lastRenderedPageBreak/>
        <w:t>BUB1B</w:t>
      </w:r>
      <w:r>
        <w:rPr>
          <w:rFonts w:ascii="Times New Roman Regular" w:hAnsi="Times New Roman Regular" w:cs="Times New Roman Regular"/>
          <w:sz w:val="24"/>
        </w:rPr>
        <w:t xml:space="preserve"> (F), </w:t>
      </w:r>
      <w:r>
        <w:rPr>
          <w:rFonts w:ascii="Times New Roman Italic" w:hAnsi="Times New Roman Italic" w:cs="Times New Roman Italic"/>
          <w:i/>
          <w:iCs/>
          <w:sz w:val="24"/>
        </w:rPr>
        <w:t>CDC20</w:t>
      </w:r>
      <w:r>
        <w:rPr>
          <w:rFonts w:ascii="Times New Roman Regular" w:hAnsi="Times New Roman Regular" w:cs="Times New Roman Regular"/>
          <w:sz w:val="24"/>
        </w:rPr>
        <w:t xml:space="preserve"> (G), </w:t>
      </w:r>
      <w:r>
        <w:rPr>
          <w:rFonts w:ascii="Times New Roman Italic" w:hAnsi="Times New Roman Italic" w:cs="Times New Roman Italic"/>
          <w:i/>
          <w:iCs/>
          <w:sz w:val="24"/>
        </w:rPr>
        <w:t>CDKN1A</w:t>
      </w:r>
      <w:r>
        <w:rPr>
          <w:rFonts w:ascii="Times New Roman Regular" w:hAnsi="Times New Roman Regular" w:cs="Times New Roman Regular"/>
          <w:sz w:val="24"/>
        </w:rPr>
        <w:t xml:space="preserve"> (H),</w:t>
      </w:r>
      <w:r>
        <w:rPr>
          <w:rFonts w:ascii="Times New Roman Italic" w:hAnsi="Times New Roman Italic" w:cs="Times New Roman Italic"/>
          <w:i/>
          <w:iCs/>
          <w:sz w:val="24"/>
        </w:rPr>
        <w:t xml:space="preserve"> BUB1</w:t>
      </w:r>
      <w:r>
        <w:rPr>
          <w:rFonts w:ascii="Times New Roman Regular" w:hAnsi="Times New Roman Regular" w:cs="Times New Roman Regular"/>
          <w:sz w:val="24"/>
        </w:rPr>
        <w:t xml:space="preserve"> (I), </w:t>
      </w:r>
      <w:r>
        <w:rPr>
          <w:rFonts w:ascii="Times New Roman Italic" w:hAnsi="Times New Roman Italic" w:cs="Times New Roman Italic"/>
          <w:i/>
          <w:iCs/>
          <w:sz w:val="24"/>
        </w:rPr>
        <w:t>CENPF</w:t>
      </w:r>
      <w:r>
        <w:rPr>
          <w:rFonts w:ascii="Times New Roman Regular" w:hAnsi="Times New Roman Regular" w:cs="Times New Roman Regular"/>
          <w:sz w:val="24"/>
        </w:rPr>
        <w:t xml:space="preserve"> (J), </w:t>
      </w:r>
      <w:r>
        <w:rPr>
          <w:rFonts w:ascii="Times New Roman Italic" w:hAnsi="Times New Roman Italic" w:cs="Times New Roman Italic"/>
          <w:i/>
          <w:iCs/>
          <w:sz w:val="24"/>
        </w:rPr>
        <w:t>MDM4</w:t>
      </w:r>
      <w:r>
        <w:rPr>
          <w:rFonts w:ascii="Times New Roman Regular" w:hAnsi="Times New Roman Regular" w:cs="Times New Roman Regular"/>
          <w:sz w:val="24"/>
        </w:rPr>
        <w:t xml:space="preserve"> (K), </w:t>
      </w:r>
      <w:r>
        <w:rPr>
          <w:rFonts w:ascii="Times New Roman Italic" w:hAnsi="Times New Roman Italic" w:cs="Times New Roman Italic"/>
          <w:i/>
          <w:iCs/>
          <w:sz w:val="24"/>
        </w:rPr>
        <w:t>KNL1</w:t>
      </w:r>
      <w:r>
        <w:rPr>
          <w:rFonts w:ascii="Times New Roman Regular" w:hAnsi="Times New Roman Regular" w:cs="Times New Roman Regular"/>
          <w:sz w:val="24"/>
        </w:rPr>
        <w:t xml:space="preserve"> (L), </w:t>
      </w:r>
      <w:r>
        <w:rPr>
          <w:rFonts w:ascii="Times New Roman Italic" w:hAnsi="Times New Roman Italic" w:cs="Times New Roman Italic"/>
          <w:i/>
          <w:iCs/>
          <w:sz w:val="24"/>
        </w:rPr>
        <w:t>SGO2</w:t>
      </w:r>
      <w:r>
        <w:rPr>
          <w:rFonts w:ascii="Times New Roman Regular" w:hAnsi="Times New Roman Regular" w:cs="Times New Roman Regular"/>
          <w:sz w:val="24"/>
        </w:rPr>
        <w:t xml:space="preserve"> (M), </w:t>
      </w:r>
      <w:r>
        <w:rPr>
          <w:rFonts w:ascii="Times New Roman Italic" w:hAnsi="Times New Roman Italic" w:cs="Times New Roman Italic"/>
          <w:i/>
          <w:iCs/>
          <w:sz w:val="24"/>
        </w:rPr>
        <w:t>CCNA1</w:t>
      </w:r>
      <w:r>
        <w:rPr>
          <w:rFonts w:ascii="Times New Roman Regular" w:hAnsi="Times New Roman Regular" w:cs="Times New Roman Regular"/>
          <w:sz w:val="24"/>
        </w:rPr>
        <w:t xml:space="preserve"> (N), </w:t>
      </w:r>
      <w:r>
        <w:rPr>
          <w:rFonts w:ascii="Times New Roman Italic" w:hAnsi="Times New Roman Italic" w:cs="Times New Roman Italic"/>
          <w:i/>
          <w:iCs/>
          <w:sz w:val="24"/>
        </w:rPr>
        <w:t>CDC25A</w:t>
      </w:r>
      <w:r>
        <w:rPr>
          <w:rFonts w:ascii="Times New Roman Regular" w:hAnsi="Times New Roman Regular" w:cs="Times New Roman Regular"/>
          <w:sz w:val="24"/>
        </w:rPr>
        <w:t xml:space="preserve"> (O), </w:t>
      </w:r>
      <w:r>
        <w:rPr>
          <w:rFonts w:ascii="Times New Roman Italic" w:hAnsi="Times New Roman Italic" w:cs="Times New Roman Italic"/>
          <w:i/>
          <w:iCs/>
          <w:sz w:val="24"/>
        </w:rPr>
        <w:t>CENPE</w:t>
      </w:r>
      <w:r>
        <w:rPr>
          <w:rFonts w:ascii="Times New Roman Regular" w:hAnsi="Times New Roman Regular" w:cs="Times New Roman Regular"/>
          <w:sz w:val="24"/>
        </w:rPr>
        <w:t xml:space="preserve"> (P), </w:t>
      </w:r>
      <w:r>
        <w:rPr>
          <w:rFonts w:ascii="Times New Roman Italic" w:hAnsi="Times New Roman Italic" w:cs="Times New Roman Italic"/>
          <w:i/>
          <w:iCs/>
          <w:sz w:val="24"/>
        </w:rPr>
        <w:t xml:space="preserve">NUF2 </w:t>
      </w:r>
      <w:r>
        <w:rPr>
          <w:rFonts w:ascii="Times New Roman Regular" w:hAnsi="Times New Roman Regular" w:cs="Times New Roman Regular"/>
          <w:sz w:val="24"/>
        </w:rPr>
        <w:t xml:space="preserve">(Q), </w:t>
      </w:r>
      <w:r>
        <w:rPr>
          <w:rFonts w:ascii="Times New Roman Italic" w:hAnsi="Times New Roman Italic" w:cs="Times New Roman Italic"/>
          <w:i/>
          <w:iCs/>
          <w:sz w:val="24"/>
        </w:rPr>
        <w:t>ERCC6L</w:t>
      </w:r>
      <w:r>
        <w:rPr>
          <w:rFonts w:ascii="Times New Roman Regular" w:hAnsi="Times New Roman Regular" w:cs="Times New Roman Regular"/>
          <w:sz w:val="24"/>
        </w:rPr>
        <w:t xml:space="preserve"> (R), and </w:t>
      </w:r>
      <w:r>
        <w:rPr>
          <w:rFonts w:ascii="Times New Roman Italic" w:hAnsi="Times New Roman Italic" w:cs="Times New Roman Italic"/>
          <w:i/>
          <w:iCs/>
          <w:sz w:val="24"/>
        </w:rPr>
        <w:t>SKA1</w:t>
      </w:r>
      <w:r>
        <w:rPr>
          <w:rFonts w:ascii="Times New Roman Regular" w:hAnsi="Times New Roman Regular" w:cs="Times New Roman Regular"/>
          <w:sz w:val="24"/>
        </w:rPr>
        <w:t xml:space="preserve"> (S) in SKOV3 cells treated with niraparib for the indicated durations, normalized to parental cells. ns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 xml:space="preserve">&gt; 0.05; *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 xml:space="preserve">&lt; 0.05; **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 xml:space="preserve">&lt; 0.01; *** </w:t>
      </w:r>
      <w:r>
        <w:rPr>
          <w:rFonts w:ascii="Times New Roman Regular" w:hAnsi="Times New Roman Regular" w:cs="Times New Roman Regular"/>
          <w:i/>
          <w:sz w:val="24"/>
        </w:rPr>
        <w:t xml:space="preserve">P </w:t>
      </w:r>
      <w:r>
        <w:rPr>
          <w:rFonts w:ascii="Times New Roman Regular" w:hAnsi="Times New Roman Regular" w:cs="Times New Roman Regular"/>
          <w:sz w:val="24"/>
        </w:rPr>
        <w:t>&lt; 0.001.</w:t>
      </w:r>
    </w:p>
    <w:p w14:paraId="1A0F8E85" w14:textId="77777777" w:rsidR="009B7CA8" w:rsidRDefault="009B7CA8">
      <w:pPr>
        <w:spacing w:line="360" w:lineRule="auto"/>
        <w:rPr>
          <w:rFonts w:ascii="Times New Roman Regular" w:hAnsi="Times New Roman Regular" w:cs="Times New Roman Regular"/>
          <w:sz w:val="24"/>
        </w:rPr>
      </w:pPr>
    </w:p>
    <w:p w14:paraId="61DB32C5" w14:textId="77777777" w:rsidR="009B7CA8" w:rsidRDefault="005808F6">
      <w:pPr>
        <w:spacing w:line="360" w:lineRule="auto"/>
        <w:jc w:val="center"/>
        <w:rPr>
          <w:rFonts w:ascii="Times New Roman Regular" w:hAnsi="Times New Roman Regular" w:cs="Times New Roman Regular"/>
          <w:sz w:val="24"/>
        </w:rPr>
      </w:pPr>
      <w:r>
        <w:rPr>
          <w:noProof/>
        </w:rPr>
        <w:lastRenderedPageBreak/>
        <w:drawing>
          <wp:inline distT="0" distB="0" distL="114300" distR="114300" wp14:anchorId="71B59484" wp14:editId="5E0F7EF7">
            <wp:extent cx="4581525" cy="8639810"/>
            <wp:effectExtent l="0" t="0" r="15875" b="2159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863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7A116" w14:textId="7F2B2C27" w:rsidR="009B7CA8" w:rsidRDefault="005808F6">
      <w:pPr>
        <w:tabs>
          <w:tab w:val="left" w:pos="1123"/>
        </w:tabs>
        <w:rPr>
          <w:rFonts w:ascii="Times New Roman Regular" w:hAnsi="Times New Roman Regular" w:cs="Times New Roman Regular"/>
          <w:b/>
          <w:bCs/>
          <w:sz w:val="24"/>
        </w:rPr>
      </w:pPr>
      <w:r>
        <w:rPr>
          <w:rFonts w:ascii="Times New Roman Regular" w:hAnsi="Times New Roman Regular" w:cs="Times New Roman Regular"/>
          <w:b/>
          <w:bCs/>
          <w:sz w:val="24"/>
        </w:rPr>
        <w:lastRenderedPageBreak/>
        <w:t>Supplementary Fig</w:t>
      </w:r>
      <w:r w:rsidR="005A5A2E">
        <w:rPr>
          <w:rFonts w:ascii="Times New Roman Regular" w:hAnsi="Times New Roman Regular" w:cs="Times New Roman Regular"/>
          <w:b/>
          <w:bCs/>
          <w:sz w:val="24"/>
        </w:rPr>
        <w:t>.</w:t>
      </w:r>
      <w:r>
        <w:rPr>
          <w:rFonts w:ascii="Times New Roman Regular" w:hAnsi="Times New Roman Regular" w:cs="Times New Roman Regular"/>
          <w:b/>
          <w:bCs/>
          <w:sz w:val="24"/>
        </w:rPr>
        <w:t xml:space="preserve"> 5</w:t>
      </w:r>
      <w:r w:rsidR="005A5A2E">
        <w:rPr>
          <w:rFonts w:ascii="Times New Roman Regular" w:hAnsi="Times New Roman Regular" w:cs="Times New Roman Regular"/>
          <w:b/>
          <w:bCs/>
          <w:sz w:val="24"/>
        </w:rPr>
        <w:t>.</w:t>
      </w:r>
      <w:r>
        <w:rPr>
          <w:rFonts w:ascii="Times New Roman Regular" w:hAnsi="Times New Roman Regular" w:cs="Times New Roman Regular"/>
          <w:b/>
          <w:bCs/>
          <w:sz w:val="24"/>
        </w:rPr>
        <w:t xml:space="preserve"> Correlation between the expression levels of four key significantly differentially expressed genes and the survival of ovarian cancer patients.</w:t>
      </w:r>
    </w:p>
    <w:p w14:paraId="3E2B8396" w14:textId="77777777" w:rsidR="009B7CA8" w:rsidRDefault="005808F6">
      <w:pPr>
        <w:tabs>
          <w:tab w:val="left" w:pos="1123"/>
        </w:tabs>
        <w:rPr>
          <w:rFonts w:ascii="Times New Roman Regular" w:hAnsi="Times New Roman Regular" w:cs="Times New Roman Regular"/>
          <w:sz w:val="24"/>
        </w:rPr>
      </w:pPr>
      <w:r>
        <w:rPr>
          <w:rFonts w:ascii="Times New Roman Regular" w:hAnsi="Times New Roman Regular" w:cs="Times New Roman Regular"/>
          <w:sz w:val="24"/>
        </w:rPr>
        <w:t xml:space="preserve">H) Kaplan-Meier curves for overall survival (A, C, E, G) and disease-free survival (B, D, F, H) of ovarian cancer patients stratified by the expression levels of </w:t>
      </w:r>
      <w:r>
        <w:rPr>
          <w:rFonts w:ascii="Times New Roman Regular" w:hAnsi="Times New Roman Regular" w:cs="Times New Roman Regular" w:hint="eastAsia"/>
          <w:i/>
          <w:sz w:val="24"/>
        </w:rPr>
        <w:t>S100A10</w:t>
      </w:r>
      <w:r>
        <w:rPr>
          <w:rFonts w:ascii="Times New Roman Regular" w:hAnsi="Times New Roman Regular" w:cs="Times New Roman Regular"/>
          <w:i/>
          <w:sz w:val="24"/>
        </w:rPr>
        <w:t xml:space="preserve"> </w:t>
      </w:r>
      <w:r>
        <w:rPr>
          <w:rFonts w:ascii="Times New Roman Regular" w:hAnsi="Times New Roman Regular" w:cs="Times New Roman Regular"/>
          <w:sz w:val="24"/>
        </w:rPr>
        <w:t xml:space="preserve">(A, B), </w:t>
      </w:r>
      <w:r>
        <w:rPr>
          <w:rFonts w:ascii="Times New Roman Regular" w:hAnsi="Times New Roman Regular" w:cs="Times New Roman Regular" w:hint="eastAsia"/>
          <w:i/>
          <w:sz w:val="24"/>
        </w:rPr>
        <w:t>THBS1</w:t>
      </w:r>
      <w:r>
        <w:rPr>
          <w:rFonts w:ascii="Times New Roman Regular" w:hAnsi="Times New Roman Regular" w:cs="Times New Roman Regular"/>
          <w:i/>
          <w:sz w:val="24"/>
        </w:rPr>
        <w:t xml:space="preserve"> </w:t>
      </w:r>
      <w:r>
        <w:rPr>
          <w:rFonts w:ascii="Times New Roman Regular" w:hAnsi="Times New Roman Regular" w:cs="Times New Roman Regular"/>
          <w:sz w:val="24"/>
        </w:rPr>
        <w:t xml:space="preserve">(C, D), </w:t>
      </w:r>
      <w:r>
        <w:rPr>
          <w:rFonts w:ascii="Times New Roman Regular" w:hAnsi="Times New Roman Regular" w:cs="Times New Roman Regular" w:hint="eastAsia"/>
          <w:i/>
          <w:sz w:val="24"/>
        </w:rPr>
        <w:t>SLC43A3</w:t>
      </w:r>
      <w:r>
        <w:rPr>
          <w:rFonts w:ascii="Times New Roman Regular" w:hAnsi="Times New Roman Regular" w:cs="Times New Roman Regular"/>
          <w:i/>
          <w:sz w:val="24"/>
        </w:rPr>
        <w:t xml:space="preserve"> </w:t>
      </w:r>
      <w:r>
        <w:rPr>
          <w:rFonts w:ascii="Times New Roman Regular" w:hAnsi="Times New Roman Regular" w:cs="Times New Roman Regular"/>
          <w:sz w:val="24"/>
        </w:rPr>
        <w:t xml:space="preserve">(E, F), and </w:t>
      </w:r>
      <w:r>
        <w:rPr>
          <w:rFonts w:ascii="Times New Roman Italic" w:hAnsi="Times New Roman Italic" w:cs="Times New Roman Italic"/>
          <w:i/>
          <w:iCs/>
          <w:sz w:val="24"/>
        </w:rPr>
        <w:t>H2BC8</w:t>
      </w:r>
      <w:r>
        <w:rPr>
          <w:rFonts w:ascii="Times New Roman Regular" w:hAnsi="Times New Roman Regular" w:cs="Times New Roman Regular"/>
          <w:sz w:val="24"/>
        </w:rPr>
        <w:t xml:space="preserve"> (G, H).</w:t>
      </w:r>
    </w:p>
    <w:p w14:paraId="2663ECFB" w14:textId="77777777" w:rsidR="009B7CA8" w:rsidRDefault="009B7CA8">
      <w:pPr>
        <w:spacing w:line="360" w:lineRule="auto"/>
        <w:rPr>
          <w:rFonts w:ascii="Times New Roman Regular" w:hAnsi="Times New Roman Regular" w:cs="Times New Roman Regular"/>
          <w:sz w:val="24"/>
        </w:rPr>
      </w:pPr>
    </w:p>
    <w:p w14:paraId="62872AB4" w14:textId="77777777" w:rsidR="009B7CA8" w:rsidRDefault="005808F6">
      <w:pPr>
        <w:tabs>
          <w:tab w:val="left" w:pos="1123"/>
        </w:tabs>
        <w:jc w:val="left"/>
        <w:rPr>
          <w:rFonts w:ascii="Times New Roman Bold" w:hAnsi="Times New Roman Bold" w:cs="Times New Roman Bold"/>
          <w:b/>
          <w:bCs/>
          <w:sz w:val="24"/>
        </w:rPr>
      </w:pPr>
      <w:r>
        <w:rPr>
          <w:rFonts w:ascii="Times New Roman Bold" w:hAnsi="Times New Roman Bold" w:cs="Times New Roman Bold"/>
          <w:b/>
          <w:bCs/>
          <w:sz w:val="24"/>
        </w:rPr>
        <w:t xml:space="preserve">Supplementary Table </w:t>
      </w:r>
      <w:r>
        <w:rPr>
          <w:rFonts w:ascii="Times New Roman Bold" w:hAnsi="Times New Roman Bold" w:cs="Times New Roman Bold" w:hint="eastAsia"/>
          <w:b/>
          <w:bCs/>
          <w:sz w:val="24"/>
        </w:rPr>
        <w:t>1:</w:t>
      </w:r>
      <w:r>
        <w:rPr>
          <w:rFonts w:ascii="Times New Roman Bold" w:hAnsi="Times New Roman Bold" w:cs="Times New Roman Bold"/>
          <w:b/>
          <w:bCs/>
          <w:sz w:val="24"/>
        </w:rPr>
        <w:t xml:space="preserve"> Time‑dependent expression differences of canonical </w:t>
      </w:r>
      <w:r>
        <w:rPr>
          <w:rFonts w:ascii="Times New Roman Bold Italic" w:hAnsi="Times New Roman Bold Italic" w:cs="Times New Roman Bold Italic"/>
          <w:b/>
          <w:bCs/>
          <w:i/>
          <w:iCs/>
          <w:sz w:val="24"/>
        </w:rPr>
        <w:t>ABC</w:t>
      </w:r>
      <w:r>
        <w:rPr>
          <w:rFonts w:ascii="Times New Roman Bold" w:hAnsi="Times New Roman Bold" w:cs="Times New Roman Bold"/>
          <w:b/>
          <w:bCs/>
          <w:sz w:val="24"/>
        </w:rPr>
        <w:t xml:space="preserve"> efflux pump genes in ovarian cancer cells treated with niraparib.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6"/>
        <w:gridCol w:w="1294"/>
        <w:gridCol w:w="1133"/>
        <w:gridCol w:w="1276"/>
        <w:gridCol w:w="3567"/>
      </w:tblGrid>
      <w:tr w:rsidR="009B7CA8" w14:paraId="17333318" w14:textId="77777777">
        <w:trPr>
          <w:trHeight w:val="318"/>
        </w:trPr>
        <w:tc>
          <w:tcPr>
            <w:tcW w:w="62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67E2D34" w14:textId="77777777" w:rsidR="009B7CA8" w:rsidRDefault="005808F6">
            <w:pPr>
              <w:jc w:val="center"/>
              <w:rPr>
                <w:rFonts w:ascii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/>
                <w:b/>
                <w:bCs/>
                <w:color w:val="000000"/>
                <w:sz w:val="22"/>
                <w:szCs w:val="22"/>
              </w:rPr>
              <w:t>Gene</w:t>
            </w:r>
          </w:p>
        </w:tc>
        <w:tc>
          <w:tcPr>
            <w:tcW w:w="77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19920B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Log</w:t>
            </w: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vertAlign w:val="subscript"/>
                <w:lang w:bidi="ar"/>
              </w:rPr>
              <w:t>2</w:t>
            </w: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 xml:space="preserve"> fold</w:t>
            </w:r>
            <w:r>
              <w:rPr>
                <w:rFonts w:ascii="宋体" w:hAnsi="宋体" w:cs="宋体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 xml:space="preserve"> </w:t>
            </w: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change</w:t>
            </w:r>
          </w:p>
        </w:tc>
        <w:tc>
          <w:tcPr>
            <w:tcW w:w="6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A89245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Ave</w:t>
            </w:r>
            <w:r>
              <w:rPr>
                <w:rFonts w:ascii="宋体" w:hAnsi="宋体" w:cs="宋体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rage expression</w:t>
            </w:r>
          </w:p>
        </w:tc>
        <w:tc>
          <w:tcPr>
            <w:tcW w:w="7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A44BE6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Adj</w:t>
            </w:r>
            <w:r>
              <w:rPr>
                <w:rFonts w:ascii="宋体" w:hAnsi="宋体" w:cs="宋体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 xml:space="preserve">usted </w:t>
            </w:r>
            <w:r>
              <w:rPr>
                <w:rFonts w:ascii="宋体" w:hAnsi="宋体" w:cs="宋体" w:hint="eastAsia"/>
                <w:b/>
                <w:bCs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P</w:t>
            </w:r>
            <w:r>
              <w:rPr>
                <w:rFonts w:ascii="宋体" w:hAnsi="宋体" w:cs="宋体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 xml:space="preserve"> -value</w:t>
            </w:r>
          </w:p>
        </w:tc>
        <w:tc>
          <w:tcPr>
            <w:tcW w:w="21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A486AB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hAnsi="宋体" w:cs="宋体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Group</w:t>
            </w:r>
          </w:p>
        </w:tc>
      </w:tr>
      <w:tr w:rsidR="009B7CA8" w14:paraId="29ED3E3F" w14:textId="77777777">
        <w:trPr>
          <w:trHeight w:val="336"/>
        </w:trPr>
        <w:tc>
          <w:tcPr>
            <w:tcW w:w="62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3BEB2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</w:t>
            </w:r>
          </w:p>
        </w:tc>
        <w:tc>
          <w:tcPr>
            <w:tcW w:w="77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B9CD7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-0.056</w:t>
            </w:r>
          </w:p>
        </w:tc>
        <w:tc>
          <w:tcPr>
            <w:tcW w:w="682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0BA62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2.514</w:t>
            </w:r>
          </w:p>
        </w:tc>
        <w:tc>
          <w:tcPr>
            <w:tcW w:w="768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F1AC8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74EE7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17B07AE7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79C9C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3DED4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0.705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C4491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2.514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347C6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0.543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944F3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3CEE1574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67BC0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A5E0D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0.785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AE7E3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2.514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2C676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0.612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88DF5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773A79DF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B9EA1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ABCA10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56643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-0.242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4FBFD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0.669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7E77F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0.473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CDEE4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7AE9F20C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6251A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ABCA10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E4545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-0.355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85003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0.669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666A8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0.201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12163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32464080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F7A28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ABCA10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24068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-0.223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1AC33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0.669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BF862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0.660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8A14A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6A5122ED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254A7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DA57FA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-0.065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1F291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0.117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7962F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0.993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D6ED0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0F7131D0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B5CD1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88DF6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-0.164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EECD7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0.117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4DAC7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0.559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DE47B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04D84C83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90AA3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DFD06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-0.110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4B155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0.117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7EE2E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0.937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D4980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2EDC9913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FBF18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46D2A1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-0.019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F3DB9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0.085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3B1A3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69E0A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19182B83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E9340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7E17B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-0.021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605DC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0.085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FBACF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2810C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4688013E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4A012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ABCA13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1C0B3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-0.004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E71E1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0.085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7A1B6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7AA13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135F5055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A472D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D5F78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-0.184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86891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3.342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46A31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0.875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EB210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2948EA32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997C4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42BBB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-0.180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282D3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3.342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5BEA8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0.896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4027F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1A5E0060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4D48F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F6276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0.003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520F8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3.342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2B877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F8A1A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79CCC9F3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4116A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30ECBD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0.595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AF331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3.499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483C2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0.363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3921A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3BD138FF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6C57A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76B7C8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0.502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963A1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3.499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3F4A6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0.450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1697F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65F4373E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846D0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583A1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0.434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B9E1F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3.499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1FB25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0.690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0A01C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7576FB7C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F8259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C699B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-0.020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042AD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0.406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EB813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CA284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6D33796A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9AB4E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1A579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0.154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9ED75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0.406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B88B0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0.829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B9BA7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3E8F761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C5BFF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61FBF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0.008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0AE94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0.406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A3058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17FE9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2254F968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B2653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E2ABE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-0.220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EA89F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2.227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BBFE6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0.853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1CAE3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1368665F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F0DAE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09CA3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-0.509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A0AAE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2.227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CA305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0.354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AD8F8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0D03F017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2BF7B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CA2F7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-0.257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8B02B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2.227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F3888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0.924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7C8CA4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1C06D145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1E58F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ABCA6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48589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-0.083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7C918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0.187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E7794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0.964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246A1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1E529177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97008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ABCA6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FC51A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-0.274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D52AE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0.187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DB41A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0.308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72487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4CFBC367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A3375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ABCA6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8F6F9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-0.266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B8729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0.187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1094A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0.474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245C7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5B86D261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842A8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ABCA7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6023E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-0.040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4F45C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1.211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35389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C9BDE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1CA3B9A2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41CB6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ABCA7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25D59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0.131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7EBB4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1.211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E41F1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8A607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1E6EF8BD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152DC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ABCA7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891DE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0.219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4D0A2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1.211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8A33F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F9138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4B0067A0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49244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lastRenderedPageBreak/>
              <w:t>ABCA8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01ABC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27F86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70DAF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8DDA6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69A1BCF3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94468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ABCA8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62AE5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0.026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C71EC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F4130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78BCF7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4DF7AFF8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DA982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ABCA8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0B32B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A61CC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ABE1C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500779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38158B1C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26A31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ABCA9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4ACB8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-0.325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6F83D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0.493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20A71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0.443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B7FA9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2337664B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868E9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ABCA9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19BD8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-0.415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89C3F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0.493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30546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0.260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2262D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6B2F3316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5C12F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ABCA9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4FEDF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-0.397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68CF9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0.493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F153F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0.422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2ED85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5B2BB2C6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C7C1E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65F4B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0.038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69BC6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3.465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6D0CB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8E825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6201E61A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764E5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A8357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-0.183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71842F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3.465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CCE54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0.885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83AFF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12E1D946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E551B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7C538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-0.171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9E87D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3.465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CD21D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98D2F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3F35241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5904D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ABCB10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1C28C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-0.470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54AD8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3.324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93364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0.406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96B1F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263513D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4B699B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ABCB10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34CC8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-0.508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96AA5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3.324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10880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0.332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3FE4B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3026DD31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47327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ABCB10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68CA4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-0.157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2458E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3.324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73C40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3505A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7D6C1DCD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006EA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ABCB11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A1CBF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19BD2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79A05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09CF8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41F7037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C029B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ABCB11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0C84F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556599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B6D4F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15A20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303DB8A2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4D13B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ABCB11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F96C3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B9E1B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15BC1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DDB38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6A6EA470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E0F03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6C9E9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0.020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0CBF3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1.334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0FF82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AF7D8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44BD66BC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A7501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B7DE9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0.046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E4149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1.334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F6998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6CC49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7B340B2C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1B0A6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6AB0A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-0.021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0839C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1.334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9D873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558655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248EBB27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9D980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DD7CD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-0.027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0AFE1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0.116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C2F58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52EE5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28532DCB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AE937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5B52C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-0.018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84933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0.116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113BF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35498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55576037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10857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DDBD7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-0.027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BB3D4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0.116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2A909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FA4C8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781857BE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12F12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ABCB6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BA307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-0.316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E25A7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2.289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B640A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0.679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DB3F4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2EAACF48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EB199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ABCB6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42BD8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-0.043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6CE86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2.289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1CE93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2C0AE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52B0F288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DEB9B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ABCB6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86D8E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0.120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3AE2D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2.289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1D274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797CA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789EF551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5524A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ABCB7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6BB49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-0.453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FBFF3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2.769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7AAC3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2D6C4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284CE321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36205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ABCB7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842DA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-0.033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D9584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2.769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1BB2F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ADA98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21BF58B3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B228F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ABCB7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DADD4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-0.222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68D50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2.769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C213C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0.892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7DEB7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36FFA1D8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BA996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ABCB8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9BDE1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0.034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A49BE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2.378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FDF4E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A9827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345367E5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F0AA4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ABCB8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C1DC6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-0.166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306CF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2.378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D1705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0.860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CF71F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20AB3D3A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C5964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ABCB8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22223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-0.075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867EE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2.378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BF3A5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2CD31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772D00BB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58970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ABCB9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A8151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-0.006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3E93E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1.110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BD291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DE09D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4F330F6B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81EE8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ABCB9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A8C72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-0.122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EBE9C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1.110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75026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0.947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EA650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7BD43888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4E34D1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ABCB9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1167A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-0.207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C2A56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1.110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50F0B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0.841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2F2CB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124B9DCD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789AC8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7AB5DF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0.168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41117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4.456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48E82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0.709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FF617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41DD7494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F18D7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CC55A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0.339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FF08F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4.456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08AE8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0.247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1C11A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47DC6896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CE2DD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C1E71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0.534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CBA14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4.456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F793C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0.081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ED622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6A76992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A50F3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ABCC10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45B12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0.017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AB29D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1.623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703DB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FCB34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198C2643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DEA91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ABCC10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309A01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-0.395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503A5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1.623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DA480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0.495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0B536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33D3D5DE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A48B8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ABCC10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89231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-0.352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14F96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1.623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B0FDD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0.719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082DD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0F8EBC1B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C07F3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ABCC11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DC309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0.068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41477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0.033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5F203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0.853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64514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08F75FEE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D3193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ABCC11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7B692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0.018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7D3DD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0.033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BAC1B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A75F1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69FA3EC2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527E2E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lastRenderedPageBreak/>
              <w:t>ABCC11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37E57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0.011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6C1A7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0.033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40458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B9623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6988522D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4683B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ABCC13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37411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C9121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0.019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C86E4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3C474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68E1265E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C5764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ABCC13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56FA7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0.057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D2EF4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0.019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319CE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0.946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5C3EC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0A7CB552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89C85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ABCC13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D712B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F6966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0.019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F5D58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0D4E2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504AE230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44BB4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D10D8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-0.291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0198C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0.455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4F4A9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0.589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EC38C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68740998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D4389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8C851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-0.281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DAF46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0.455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DF424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0.612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FF5BD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363E7F78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A1040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246B6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-0.137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38B5E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0.455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A7C2F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F0AD8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2584A7AC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ACED7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1FDEE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-0.466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B62AF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3.833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9C102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0.351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250D8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1B7244C0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212AB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71191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-0.404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DC09A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3.833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96C23E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0.420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A9A6D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72408ECF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C4278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2D659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-0.342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9E71B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3.833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7D9E5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0.681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2FA10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388ABE24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B3872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55731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-0.226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2CCD2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2.258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C68FC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0.815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85C95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0C8E13E5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AD3E4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39E88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-0.355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9B581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2.258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904A2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0.554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793FB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7E1947FB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9DE58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7B1B6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-0.486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D6EA1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2.258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DFBD5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0.493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6E860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1B9F2F6C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EB6F4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18E3D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0.211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E8876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3.334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9FDA1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0.694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7E12A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0363A4DC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EAFB0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AD2F9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0.087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08350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3.334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E6768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5EDD7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5450C62E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B831F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6274E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0.057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2A978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3.334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04144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8B83E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2CD99374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CFBD8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ABCC6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A7F18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-0.056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EA05C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0.398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EBE06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0BE19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402FC60F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FA94D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ABCC6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2C014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-0.019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43AA59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0.398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F04C2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A759E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6D8F09A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CE059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ABCC6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B8568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0.075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DC647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0.398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07FB6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43AEA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15B51324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729AE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ABCC8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AE136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-0.029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2AE45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0.427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8748C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00E74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103B6FD5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AC141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ABCC8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8B58D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-0.206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DB5F6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0.427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E800E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0.491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7896B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5C36F5CE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3E076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ABCC8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B00AF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-0.065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A2415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0.427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B1474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0829C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26CDD474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80C31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ABCC9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CA233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0.010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B62CE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1.396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E67D8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6A806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7BB1D65B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5C2D7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ABCC9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4951C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-0.008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D3ECF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1.396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36316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12BB8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7B443AAE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7949E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ABCC9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14416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0.057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1F338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1.396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09047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FDCA3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35229B54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8C321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469EF5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0.502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0F169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1.990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E3B8F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0.410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3AAD9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3525684A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ADA9B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541D1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0.294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ED6FE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1.990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EB85C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0.746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78035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238D39E8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1EBB7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0BBE1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0.105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88792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1.990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9CD6A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E3F72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2A5CA702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F34FA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4463E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B8AC3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0.026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B4A9E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E5F10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395D173D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7FCF2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3B7D7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49E83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0.026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5E94F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84D14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0D88A62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514A7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A27FC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0.000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50C2F1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0.026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77314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A9C21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305F90CD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5B1B4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326F5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-0.460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E598A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2.398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1DD57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0.235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9258A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3C107920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42E0A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B1AB9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-0.595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10341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2.398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AB42B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0.093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2ABFE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0361FBF0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039EA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EA91A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-0.520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E2D92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2.398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B2C34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0.230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FA678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554BBF35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0AD68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D465D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0.312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5495F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4.193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09237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0.626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A2F2D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735D292C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F3339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0DF6F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0.144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C7A7B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4.193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7AC10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0.985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4BC1F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0DC30094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01744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ABCD4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D65B8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-0.170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810E9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4.193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18E56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25B5F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3C8AEE8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F9EF8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ABCE1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67E07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0.046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1C2DA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6.169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10E88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B5D3C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67AA66C7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EDC4C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ABCE1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A3CDC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0.139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1B2FC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6.169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05AEC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0DEF8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53AC032F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35D99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ABCE1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E9C5B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0.217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5285A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6.169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DE036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36497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26938985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03167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ABCF1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80A3E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0.017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1C86E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2.504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6FDEF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C8EF5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6A11E92B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0F843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lastRenderedPageBreak/>
              <w:t>ABCF1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50F89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0.069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5DB04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2.504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40F54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0D877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54332560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2AFEC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ABCF1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7CB7D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0.146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A578A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2.504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11F4A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E2C88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5E6935C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2DC14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ABCF2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5C556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0.243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45020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2.920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6B5D4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0.822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E5152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2DFDE713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4137D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ABCF2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07E21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0.455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793B8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2.920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EEC76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0.444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65586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07790BA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96947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ABCF2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C9E3B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0.402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32629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2.920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FDF2A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0.675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53733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411E16E6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C108B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ABCF3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7848C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-0.013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8C83C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3.722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A978A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86CAC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2363DBB7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6150E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ABCF3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6924C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-0.093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B4B9F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3.722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4FF4A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68968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421A7652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F0BC1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ABCF3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6BC80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-0.025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E62F1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3.722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A9E1D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4AF15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6730FF34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39F31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2FA84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-0.816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56728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1.641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73446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0.601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14348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48323CF6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BB630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D1F38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-0.985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787DE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1.641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82C42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0.474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AB358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42D0E7A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5981E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ABCG1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DA7C1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1.025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D8AA5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1.641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0BE03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0.588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A472B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7917C29D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5425C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3AD01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-0.090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4CBE3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0.341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29497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F4817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3ACDE419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92021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66087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-0.105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6073B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0.341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44C25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E09C0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174F0C8D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B4781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ABCG2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6FB82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0.010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F7EFE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0.341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BA6A6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91895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0AE2E9BD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A1424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79964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-0.167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8824B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0.627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F5A6B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0.894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0AC98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64E00893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2D9E1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1705E3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-0.296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49C96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0.627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BF681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0898F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63FA3297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B5E3F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ABCG4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F860A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-0.019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A127F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0.627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87D14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75603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181D24A1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73C5A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72D96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0.174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0C468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0.185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FA5C4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0.594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B38C6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47B57AAD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130197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30D42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-0.065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487F6B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0.185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4CE0C5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57C88C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13AC618F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30143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ABCG5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83715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-0.035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A10D9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0.185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946ADF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D4CC40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  <w:tr w:rsidR="009B7CA8" w14:paraId="152A65C1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27682A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ABCG8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D3FC7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0.073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88EF3D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0.024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4EF61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0.699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439EA8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SKOV3_Nira_2M-vs-SKOV3_parent</w:t>
            </w:r>
          </w:p>
        </w:tc>
      </w:tr>
      <w:tr w:rsidR="009B7CA8" w14:paraId="3ADAF53E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8E64F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ABCG8</w:t>
            </w:r>
          </w:p>
        </w:tc>
        <w:tc>
          <w:tcPr>
            <w:tcW w:w="7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C45F59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0.026</w:t>
            </w: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8AD0B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0.024</w:t>
            </w:r>
          </w:p>
        </w:tc>
        <w:tc>
          <w:tcPr>
            <w:tcW w:w="7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74FDC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388F36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SKOV3_Nira_3M-vs-SKOV3_parent</w:t>
            </w:r>
          </w:p>
        </w:tc>
      </w:tr>
      <w:tr w:rsidR="009B7CA8" w14:paraId="670FDA78" w14:textId="77777777">
        <w:trPr>
          <w:trHeight w:val="336"/>
        </w:trPr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CFF1134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2"/>
                <w:szCs w:val="22"/>
                <w:lang w:bidi="ar"/>
              </w:rPr>
              <w:t>ABCG8</w:t>
            </w:r>
          </w:p>
        </w:tc>
        <w:tc>
          <w:tcPr>
            <w:tcW w:w="7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043F53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-0.022</w:t>
            </w:r>
          </w:p>
        </w:tc>
        <w:tc>
          <w:tcPr>
            <w:tcW w:w="6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A244762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0.024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CD337BE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1.000</w:t>
            </w:r>
          </w:p>
        </w:tc>
        <w:tc>
          <w:tcPr>
            <w:tcW w:w="21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E0E5641" w14:textId="77777777" w:rsidR="009B7CA8" w:rsidRDefault="005808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SKOV3_Nira_6M-vs-SKOV3_parent</w:t>
            </w:r>
          </w:p>
        </w:tc>
      </w:tr>
    </w:tbl>
    <w:p w14:paraId="663D2C25" w14:textId="77777777" w:rsidR="009B7CA8" w:rsidRDefault="009B7CA8">
      <w:pPr>
        <w:spacing w:line="360" w:lineRule="auto"/>
        <w:jc w:val="left"/>
        <w:rPr>
          <w:rFonts w:ascii="Times New Roman Regular" w:hAnsi="Times New Roman Regular" w:cs="Times New Roman Regular"/>
          <w:sz w:val="24"/>
        </w:rPr>
      </w:pPr>
    </w:p>
    <w:p w14:paraId="53D37FA0" w14:textId="77777777" w:rsidR="009B7CA8" w:rsidRDefault="005808F6">
      <w:pPr>
        <w:tabs>
          <w:tab w:val="left" w:pos="1123"/>
        </w:tabs>
        <w:rPr>
          <w:rFonts w:ascii="Times New Roman Bold" w:hAnsi="Times New Roman Bold" w:cs="Times New Roman Bold"/>
          <w:b/>
          <w:bCs/>
          <w:sz w:val="24"/>
        </w:rPr>
      </w:pPr>
      <w:r>
        <w:rPr>
          <w:rFonts w:ascii="Times New Roman Bold" w:hAnsi="Times New Roman Bold" w:cs="Times New Roman Bold"/>
          <w:b/>
          <w:bCs/>
          <w:sz w:val="24"/>
        </w:rPr>
        <w:t xml:space="preserve">Supplementary Table </w:t>
      </w:r>
      <w:r>
        <w:rPr>
          <w:rFonts w:ascii="Times New Roman Bold" w:hAnsi="Times New Roman Bold" w:cs="Times New Roman Bold" w:hint="eastAsia"/>
          <w:b/>
          <w:bCs/>
          <w:sz w:val="24"/>
        </w:rPr>
        <w:t>2</w:t>
      </w:r>
      <w:r>
        <w:rPr>
          <w:rFonts w:ascii="Times New Roman Bold" w:hAnsi="Times New Roman Bold" w:cs="Times New Roman Bold"/>
          <w:b/>
          <w:bCs/>
          <w:sz w:val="24"/>
        </w:rPr>
        <w:t xml:space="preserve">: key differentially expressed genes screened in niraparib-resistant ovarian cancer cells (ranked byadjusted  </w:t>
      </w:r>
      <w:r>
        <w:rPr>
          <w:rFonts w:ascii="Times New Roman Bold Italic" w:hAnsi="Times New Roman Bold Italic" w:cs="Times New Roman Bold Italic"/>
          <w:b/>
          <w:bCs/>
          <w:i/>
          <w:iCs/>
          <w:sz w:val="24"/>
        </w:rPr>
        <w:t>P</w:t>
      </w:r>
      <w:r>
        <w:rPr>
          <w:rFonts w:ascii="Times New Roman Bold" w:hAnsi="Times New Roman Bold" w:cs="Times New Roman Bold"/>
          <w:b/>
          <w:bCs/>
          <w:sz w:val="24"/>
        </w:rPr>
        <w:t>-value)</w:t>
      </w:r>
    </w:p>
    <w:tbl>
      <w:tblPr>
        <w:tblW w:w="5000" w:type="pct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13"/>
        <w:gridCol w:w="1417"/>
        <w:gridCol w:w="1545"/>
        <w:gridCol w:w="867"/>
        <w:gridCol w:w="1075"/>
        <w:gridCol w:w="1472"/>
        <w:gridCol w:w="817"/>
      </w:tblGrid>
      <w:tr w:rsidR="009B7CA8" w14:paraId="25DBD01B" w14:textId="77777777">
        <w:trPr>
          <w:trHeight w:val="336"/>
          <w:jc w:val="center"/>
        </w:trPr>
        <w:tc>
          <w:tcPr>
            <w:tcW w:w="6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3D40473" w14:textId="77777777" w:rsidR="009B7CA8" w:rsidRDefault="005808F6">
            <w:pPr>
              <w:jc w:val="center"/>
              <w:rPr>
                <w:rFonts w:ascii="Times New Roman Bold" w:hAnsi="Times New Roman Bold" w:cs="Times New Roman Bold"/>
                <w:b/>
                <w:bCs/>
                <w:color w:val="000000"/>
              </w:rPr>
            </w:pPr>
            <w:r>
              <w:rPr>
                <w:rFonts w:ascii="Times New Roman Bold" w:hAnsi="Times New Roman Bold" w:cs="Times New Roman Bold"/>
                <w:b/>
                <w:bCs/>
                <w:color w:val="000000"/>
              </w:rPr>
              <w:t>Gene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7BB9C20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Bold" w:hAnsi="Times New Roman Bold" w:cs="Times New Roman Bold"/>
                <w:b/>
                <w:bCs/>
                <w:color w:val="000000"/>
              </w:rPr>
            </w:pPr>
            <w:r>
              <w:rPr>
                <w:rFonts w:ascii="Times New Roman Bold" w:hAnsi="Times New Roman Bold" w:cs="Times New Roman Bold"/>
                <w:b/>
                <w:bCs/>
                <w:color w:val="000000"/>
                <w:kern w:val="0"/>
                <w:lang w:bidi="ar"/>
              </w:rPr>
              <w:t>Log</w:t>
            </w:r>
            <w:r>
              <w:rPr>
                <w:rFonts w:ascii="Times New Roman Bold" w:hAnsi="Times New Roman Bold" w:cs="Times New Roman Bold"/>
                <w:b/>
                <w:bCs/>
                <w:color w:val="000000"/>
                <w:kern w:val="0"/>
                <w:vertAlign w:val="subscript"/>
                <w:lang w:bidi="ar"/>
              </w:rPr>
              <w:t xml:space="preserve">2 </w:t>
            </w:r>
            <w:r>
              <w:rPr>
                <w:rFonts w:ascii="Times New Roman Bold" w:hAnsi="Times New Roman Bold" w:cs="Times New Roman Bold"/>
                <w:b/>
                <w:bCs/>
                <w:color w:val="000000"/>
                <w:kern w:val="0"/>
                <w:lang w:bidi="ar"/>
              </w:rPr>
              <w:t>fold change</w:t>
            </w:r>
          </w:p>
        </w:tc>
        <w:tc>
          <w:tcPr>
            <w:tcW w:w="92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63614446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Bold" w:hAnsi="Times New Roman Bold" w:cs="Times New Roman Bold"/>
                <w:b/>
                <w:bCs/>
                <w:color w:val="000000"/>
              </w:rPr>
            </w:pPr>
            <w:r>
              <w:rPr>
                <w:rFonts w:ascii="Times New Roman Bold" w:hAnsi="Times New Roman Bold" w:cs="Times New Roman Bold"/>
                <w:b/>
                <w:bCs/>
                <w:color w:val="000000"/>
                <w:kern w:val="0"/>
                <w:lang w:bidi="ar"/>
              </w:rPr>
              <w:t>Average expression</w:t>
            </w:r>
          </w:p>
        </w:tc>
        <w:tc>
          <w:tcPr>
            <w:tcW w:w="5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5852AAA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Bold" w:hAnsi="Times New Roman Bold" w:cs="Times New Roman Bold"/>
                <w:b/>
                <w:bCs/>
                <w:color w:val="000000"/>
              </w:rPr>
            </w:pPr>
            <w:r>
              <w:rPr>
                <w:rFonts w:ascii="Times New Roman Bold" w:hAnsi="Times New Roman Bold" w:cs="Times New Roman Bold"/>
                <w:b/>
                <w:bCs/>
                <w:color w:val="000000"/>
                <w:kern w:val="0"/>
                <w:lang w:bidi="ar"/>
              </w:rPr>
              <w:t>t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00C2918E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Bold" w:hAnsi="Times New Roman Bold" w:cs="Times New Roman Bold"/>
                <w:b/>
                <w:bCs/>
                <w:color w:val="000000"/>
              </w:rPr>
            </w:pPr>
            <w:r>
              <w:rPr>
                <w:rFonts w:ascii="Times New Roman Bold Italic" w:hAnsi="Times New Roman Bold Italic" w:cs="Times New Roman Bold Italic"/>
                <w:b/>
                <w:bCs/>
                <w:i/>
                <w:iCs/>
                <w:color w:val="000000"/>
                <w:kern w:val="0"/>
                <w:lang w:bidi="ar"/>
              </w:rPr>
              <w:t>P</w:t>
            </w:r>
            <w:r>
              <w:rPr>
                <w:rFonts w:ascii="Times New Roman Bold" w:hAnsi="Times New Roman Bold" w:cs="Times New Roman Bold"/>
                <w:b/>
                <w:bCs/>
                <w:color w:val="000000"/>
                <w:kern w:val="0"/>
                <w:lang w:bidi="ar"/>
              </w:rPr>
              <w:t xml:space="preserve"> value</w:t>
            </w:r>
          </w:p>
        </w:tc>
        <w:tc>
          <w:tcPr>
            <w:tcW w:w="88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356A73D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Bold" w:hAnsi="Times New Roman Bold" w:cs="Times New Roman Bold"/>
                <w:b/>
                <w:bCs/>
                <w:color w:val="000000"/>
              </w:rPr>
            </w:pPr>
            <w:r>
              <w:rPr>
                <w:rFonts w:ascii="Times New Roman Bold" w:hAnsi="Times New Roman Bold" w:cs="Times New Roman Bold"/>
                <w:b/>
                <w:bCs/>
                <w:color w:val="000000"/>
                <w:kern w:val="0"/>
                <w:lang w:bidi="ar"/>
              </w:rPr>
              <w:t xml:space="preserve">Adjusted </w:t>
            </w:r>
            <w:r>
              <w:rPr>
                <w:rFonts w:ascii="Times New Roman Bold Italic" w:hAnsi="Times New Roman Bold Italic" w:cs="Times New Roman Bold Italic"/>
                <w:b/>
                <w:bCs/>
                <w:i/>
                <w:iCs/>
                <w:color w:val="000000"/>
                <w:kern w:val="0"/>
                <w:lang w:bidi="ar"/>
              </w:rPr>
              <w:t xml:space="preserve">P </w:t>
            </w:r>
            <w:r>
              <w:rPr>
                <w:rFonts w:ascii="Times New Roman Bold" w:hAnsi="Times New Roman Bold" w:cs="Times New Roman Bold"/>
                <w:b/>
                <w:bCs/>
                <w:color w:val="000000"/>
                <w:kern w:val="0"/>
                <w:lang w:bidi="ar"/>
              </w:rPr>
              <w:t>value</w:t>
            </w:r>
          </w:p>
        </w:tc>
        <w:tc>
          <w:tcPr>
            <w:tcW w:w="49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6E5AA0E8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Bold" w:hAnsi="Times New Roman Bold" w:cs="Times New Roman Bold"/>
                <w:b/>
                <w:bCs/>
                <w:color w:val="000000"/>
              </w:rPr>
            </w:pPr>
            <w:r>
              <w:rPr>
                <w:rFonts w:ascii="Times New Roman Bold" w:hAnsi="Times New Roman Bold" w:cs="Times New Roman Bold"/>
                <w:b/>
                <w:bCs/>
                <w:color w:val="000000"/>
                <w:kern w:val="0"/>
                <w:lang w:bidi="ar"/>
              </w:rPr>
              <w:t>B</w:t>
            </w:r>
          </w:p>
        </w:tc>
      </w:tr>
      <w:tr w:rsidR="009B7CA8" w14:paraId="38FAC08B" w14:textId="77777777">
        <w:trPr>
          <w:trHeight w:val="336"/>
          <w:jc w:val="center"/>
        </w:trPr>
        <w:tc>
          <w:tcPr>
            <w:tcW w:w="670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7CCB5DF8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PARP1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20E0DBD9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-1.438</w:t>
            </w:r>
          </w:p>
        </w:tc>
        <w:tc>
          <w:tcPr>
            <w:tcW w:w="929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6D5EC4E8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4.85</w:t>
            </w:r>
            <w:r>
              <w:rPr>
                <w:rFonts w:ascii="Times New Roman Regular" w:hAnsi="Times New Roman Regular" w:cs="Times New Roman Regular" w:hint="eastAsia"/>
                <w:color w:val="000000"/>
                <w:kern w:val="0"/>
                <w:lang w:bidi="ar"/>
              </w:rPr>
              <w:t>6</w:t>
            </w:r>
          </w:p>
        </w:tc>
        <w:tc>
          <w:tcPr>
            <w:tcW w:w="522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67B4F782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-9.15</w:t>
            </w:r>
            <w:r>
              <w:rPr>
                <w:rFonts w:ascii="Times New Roman Regular" w:hAnsi="Times New Roman Regular" w:cs="Times New Roman Regular" w:hint="eastAsia"/>
                <w:color w:val="000000"/>
                <w:kern w:val="0"/>
                <w:lang w:bidi="ar"/>
              </w:rPr>
              <w:t>7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2488208D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1.39</w:t>
            </w:r>
            <w:r>
              <w:rPr>
                <w:rFonts w:ascii="Times New Roman Regular" w:hAnsi="Times New Roman Regular" w:cs="Times New Roman Regular" w:hint="eastAsia"/>
                <w:color w:val="000000"/>
                <w:kern w:val="0"/>
                <w:lang w:bidi="ar"/>
              </w:rPr>
              <w:t>2</w:t>
            </w: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E-06</w:t>
            </w:r>
          </w:p>
        </w:tc>
        <w:tc>
          <w:tcPr>
            <w:tcW w:w="885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15559166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0.002</w:t>
            </w:r>
          </w:p>
        </w:tc>
        <w:tc>
          <w:tcPr>
            <w:tcW w:w="492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0EB7B72C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5.59</w:t>
            </w:r>
            <w:r>
              <w:rPr>
                <w:rFonts w:ascii="Times New Roman Regular" w:hAnsi="Times New Roman Regular" w:cs="Times New Roman Regular" w:hint="eastAsia"/>
                <w:color w:val="000000"/>
                <w:kern w:val="0"/>
                <w:lang w:bidi="ar"/>
              </w:rPr>
              <w:t>8</w:t>
            </w:r>
          </w:p>
        </w:tc>
      </w:tr>
      <w:tr w:rsidR="009B7CA8" w14:paraId="1F903A9C" w14:textId="77777777">
        <w:trPr>
          <w:trHeight w:val="336"/>
          <w:jc w:val="center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6B958C2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 w:hint="eastAsia"/>
                <w:i/>
                <w:color w:val="000000"/>
                <w:kern w:val="0"/>
                <w:lang w:bidi="ar"/>
              </w:rPr>
              <w:t>SLC43A3</w:t>
            </w:r>
          </w:p>
        </w:tc>
        <w:tc>
          <w:tcPr>
            <w:tcW w:w="85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F8ED02A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2.009</w:t>
            </w:r>
          </w:p>
        </w:tc>
        <w:tc>
          <w:tcPr>
            <w:tcW w:w="92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4D48BE2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4.180</w:t>
            </w:r>
          </w:p>
        </w:tc>
        <w:tc>
          <w:tcPr>
            <w:tcW w:w="52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90758E3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7.33</w:t>
            </w:r>
            <w:r>
              <w:rPr>
                <w:rFonts w:ascii="Times New Roman Regular" w:hAnsi="Times New Roman Regular" w:cs="Times New Roman Regular" w:hint="eastAsia"/>
                <w:color w:val="000000"/>
                <w:kern w:val="0"/>
                <w:lang w:bidi="ar"/>
              </w:rPr>
              <w:t>5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9E9B2A3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1.23</w:t>
            </w:r>
            <w:r>
              <w:rPr>
                <w:rFonts w:ascii="Times New Roman Regular" w:hAnsi="Times New Roman Regular" w:cs="Times New Roman Regular" w:hint="eastAsia"/>
                <w:color w:val="000000"/>
                <w:kern w:val="0"/>
                <w:lang w:bidi="ar"/>
              </w:rPr>
              <w:t>2</w:t>
            </w: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E-05</w:t>
            </w:r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576FD92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0.006</w:t>
            </w:r>
          </w:p>
        </w:tc>
        <w:tc>
          <w:tcPr>
            <w:tcW w:w="49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0EA8229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3.644</w:t>
            </w:r>
          </w:p>
        </w:tc>
      </w:tr>
      <w:tr w:rsidR="009B7CA8" w14:paraId="66D8096A" w14:textId="77777777">
        <w:trPr>
          <w:trHeight w:val="336"/>
          <w:jc w:val="center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B2532BB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 w:hint="eastAsia"/>
                <w:i/>
                <w:color w:val="000000"/>
                <w:kern w:val="0"/>
                <w:lang w:bidi="ar"/>
              </w:rPr>
              <w:t>S100A10</w:t>
            </w:r>
          </w:p>
        </w:tc>
        <w:tc>
          <w:tcPr>
            <w:tcW w:w="85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D183BC0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-1.168</w:t>
            </w:r>
          </w:p>
        </w:tc>
        <w:tc>
          <w:tcPr>
            <w:tcW w:w="92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5B90C7F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7.997</w:t>
            </w:r>
          </w:p>
        </w:tc>
        <w:tc>
          <w:tcPr>
            <w:tcW w:w="52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7210C26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-3.87</w:t>
            </w:r>
            <w:r>
              <w:rPr>
                <w:rFonts w:ascii="Times New Roman Regular" w:hAnsi="Times New Roman Regular" w:cs="Times New Roman Regular" w:hint="eastAsia"/>
                <w:color w:val="000000"/>
                <w:kern w:val="0"/>
                <w:lang w:bidi="ar"/>
              </w:rPr>
              <w:t>4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9DBE77F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0.002443</w:t>
            </w:r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44CB6DF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0.147</w:t>
            </w:r>
          </w:p>
        </w:tc>
        <w:tc>
          <w:tcPr>
            <w:tcW w:w="49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E106AA5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-1.405</w:t>
            </w:r>
          </w:p>
        </w:tc>
      </w:tr>
      <w:tr w:rsidR="009B7CA8" w14:paraId="04F91A91" w14:textId="77777777">
        <w:trPr>
          <w:trHeight w:val="336"/>
          <w:jc w:val="center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8EE20AC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 w:hint="eastAsia"/>
                <w:i/>
                <w:color w:val="000000"/>
                <w:kern w:val="0"/>
                <w:lang w:bidi="ar"/>
              </w:rPr>
              <w:t>THBS1</w:t>
            </w:r>
          </w:p>
        </w:tc>
        <w:tc>
          <w:tcPr>
            <w:tcW w:w="85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2680EF2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-1.45</w:t>
            </w:r>
            <w:r>
              <w:rPr>
                <w:rFonts w:ascii="Times New Roman Regular" w:hAnsi="Times New Roman Regular" w:cs="Times New Roman Regular" w:hint="eastAsia"/>
                <w:color w:val="000000"/>
                <w:kern w:val="0"/>
                <w:lang w:bidi="ar"/>
              </w:rPr>
              <w:t>6</w:t>
            </w:r>
          </w:p>
        </w:tc>
        <w:tc>
          <w:tcPr>
            <w:tcW w:w="92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D12370C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5.126</w:t>
            </w:r>
          </w:p>
        </w:tc>
        <w:tc>
          <w:tcPr>
            <w:tcW w:w="52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ED6BF19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-3.046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F6DDF99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0.01075</w:t>
            </w:r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527CF4B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0.314</w:t>
            </w:r>
          </w:p>
        </w:tc>
        <w:tc>
          <w:tcPr>
            <w:tcW w:w="49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3483A81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color w:val="000000"/>
              </w:rPr>
            </w:pPr>
            <w:r>
              <w:rPr>
                <w:rFonts w:ascii="Times New Roman Regular" w:hAnsi="Times New Roman Regular" w:cs="Times New Roman Regular"/>
                <w:color w:val="000000"/>
                <w:kern w:val="0"/>
                <w:lang w:bidi="ar"/>
              </w:rPr>
              <w:t>-2.83</w:t>
            </w:r>
            <w:r>
              <w:rPr>
                <w:rFonts w:ascii="Times New Roman Regular" w:hAnsi="Times New Roman Regular" w:cs="Times New Roman Regular" w:hint="eastAsia"/>
                <w:color w:val="000000"/>
                <w:kern w:val="0"/>
                <w:lang w:bidi="ar"/>
              </w:rPr>
              <w:t>5</w:t>
            </w:r>
          </w:p>
        </w:tc>
      </w:tr>
      <w:tr w:rsidR="009B7CA8" w14:paraId="069CECD8" w14:textId="77777777">
        <w:trPr>
          <w:trHeight w:val="336"/>
          <w:jc w:val="center"/>
        </w:trPr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637CECE4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i/>
                <w:color w:val="000000"/>
                <w:kern w:val="0"/>
                <w:lang w:bidi="ar"/>
              </w:rPr>
            </w:pPr>
            <w:r>
              <w:rPr>
                <w:rFonts w:ascii="Times New Roman Regular" w:eastAsiaTheme="minorEastAsia" w:hAnsi="Times New Roman Regular" w:cs="Times New Roman Regular" w:hint="eastAsia"/>
                <w:i/>
                <w:color w:val="000000"/>
                <w:kern w:val="0"/>
                <w:szCs w:val="22"/>
                <w:lang w:bidi="ar"/>
              </w:rPr>
              <w:t>H2BC8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A98CAD9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iCs/>
                <w:color w:val="000000"/>
                <w:kern w:val="0"/>
                <w:lang w:bidi="ar"/>
              </w:rPr>
            </w:pPr>
            <w:r>
              <w:rPr>
                <w:rFonts w:ascii="Times New Roman Regular" w:eastAsiaTheme="minorEastAsia" w:hAnsi="Times New Roman Regular" w:cs="Times New Roman Regular" w:hint="eastAsia"/>
                <w:iCs/>
                <w:color w:val="000000"/>
                <w:kern w:val="0"/>
                <w:szCs w:val="22"/>
                <w:lang w:bidi="ar"/>
              </w:rPr>
              <w:t>-1.015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62AAC431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iCs/>
                <w:color w:val="000000"/>
                <w:kern w:val="0"/>
                <w:lang w:bidi="ar"/>
              </w:rPr>
            </w:pPr>
            <w:r>
              <w:rPr>
                <w:rFonts w:ascii="Times New Roman Regular" w:eastAsiaTheme="minorEastAsia" w:hAnsi="Times New Roman Regular" w:cs="Times New Roman Regular" w:hint="eastAsia"/>
                <w:iCs/>
                <w:color w:val="000000"/>
                <w:kern w:val="0"/>
                <w:szCs w:val="22"/>
                <w:lang w:bidi="ar"/>
              </w:rPr>
              <w:t>1.38</w:t>
            </w:r>
            <w:r>
              <w:rPr>
                <w:rFonts w:ascii="Times New Roman Regular" w:hAnsi="Times New Roman Regular" w:cs="Times New Roman Regular"/>
                <w:iCs/>
                <w:color w:val="000000"/>
                <w:kern w:val="0"/>
                <w:szCs w:val="22"/>
                <w:lang w:bidi="ar"/>
              </w:rPr>
              <w:t>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C357214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iCs/>
                <w:color w:val="000000"/>
                <w:kern w:val="0"/>
                <w:lang w:bidi="ar"/>
              </w:rPr>
            </w:pPr>
            <w:r>
              <w:rPr>
                <w:rFonts w:ascii="Times New Roman Regular" w:eastAsiaTheme="minorEastAsia" w:hAnsi="Times New Roman Regular" w:cs="Times New Roman Regular" w:hint="eastAsia"/>
                <w:iCs/>
                <w:color w:val="000000"/>
                <w:kern w:val="0"/>
                <w:szCs w:val="22"/>
                <w:lang w:bidi="ar"/>
              </w:rPr>
              <w:t>-2.57</w:t>
            </w:r>
            <w:r>
              <w:rPr>
                <w:rFonts w:ascii="Times New Roman Regular" w:hAnsi="Times New Roman Regular" w:cs="Times New Roman Regular"/>
                <w:iCs/>
                <w:color w:val="000000"/>
                <w:kern w:val="0"/>
                <w:szCs w:val="22"/>
                <w:lang w:bidi="ar"/>
              </w:rPr>
              <w:t>5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396640C8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iCs/>
                <w:color w:val="000000"/>
                <w:kern w:val="0"/>
                <w:lang w:bidi="ar"/>
              </w:rPr>
            </w:pPr>
            <w:r>
              <w:rPr>
                <w:rFonts w:ascii="Times New Roman Regular" w:eastAsiaTheme="minorEastAsia" w:hAnsi="Times New Roman Regular" w:cs="Times New Roman Regular" w:hint="eastAsia"/>
                <w:iCs/>
                <w:color w:val="000000"/>
                <w:kern w:val="0"/>
                <w:szCs w:val="22"/>
                <w:lang w:bidi="ar"/>
              </w:rPr>
              <w:t>0.025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2D0187E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iCs/>
                <w:color w:val="000000"/>
                <w:kern w:val="0"/>
                <w:lang w:bidi="ar"/>
              </w:rPr>
            </w:pPr>
            <w:r>
              <w:rPr>
                <w:rFonts w:ascii="Times New Roman Regular" w:eastAsiaTheme="minorEastAsia" w:hAnsi="Times New Roman Regular" w:cs="Times New Roman Regular" w:hint="eastAsia"/>
                <w:iCs/>
                <w:color w:val="000000"/>
                <w:kern w:val="0"/>
                <w:szCs w:val="22"/>
                <w:lang w:bidi="ar"/>
              </w:rPr>
              <w:t>0.46</w:t>
            </w:r>
            <w:r>
              <w:rPr>
                <w:rFonts w:ascii="Times New Roman Regular" w:hAnsi="Times New Roman Regular" w:cs="Times New Roman Regular"/>
                <w:iCs/>
                <w:color w:val="000000"/>
                <w:kern w:val="0"/>
                <w:szCs w:val="22"/>
                <w:lang w:bidi="ar"/>
              </w:rPr>
              <w:t>4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4485977" w14:textId="77777777" w:rsidR="009B7CA8" w:rsidRDefault="005808F6">
            <w:pPr>
              <w:widowControl/>
              <w:jc w:val="center"/>
              <w:textAlignment w:val="center"/>
              <w:rPr>
                <w:rFonts w:ascii="Times New Roman Regular" w:hAnsi="Times New Roman Regular" w:cs="Times New Roman Regular"/>
                <w:iCs/>
                <w:color w:val="000000"/>
                <w:kern w:val="0"/>
                <w:lang w:bidi="ar"/>
              </w:rPr>
            </w:pPr>
            <w:r>
              <w:rPr>
                <w:rFonts w:ascii="Times New Roman Regular" w:eastAsiaTheme="minorEastAsia" w:hAnsi="Times New Roman Regular" w:cs="Times New Roman Regular" w:hint="eastAsia"/>
                <w:iCs/>
                <w:color w:val="000000"/>
                <w:kern w:val="0"/>
                <w:szCs w:val="22"/>
                <w:lang w:bidi="ar"/>
              </w:rPr>
              <w:t>-3.644</w:t>
            </w:r>
          </w:p>
        </w:tc>
      </w:tr>
    </w:tbl>
    <w:p w14:paraId="4D36E04D" w14:textId="77777777" w:rsidR="009B7CA8" w:rsidRDefault="009B7CA8"/>
    <w:sectPr w:rsidR="009B7CA8">
      <w:pgSz w:w="11906" w:h="16838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2C3C46" w14:textId="77777777" w:rsidR="00FB306E" w:rsidRDefault="00FB306E">
      <w:r>
        <w:separator/>
      </w:r>
    </w:p>
  </w:endnote>
  <w:endnote w:type="continuationSeparator" w:id="0">
    <w:p w14:paraId="3AA637BD" w14:textId="77777777" w:rsidR="00FB306E" w:rsidRDefault="00FB30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 Regular">
    <w:altName w:val="Times New Roman"/>
    <w:charset w:val="00"/>
    <w:family w:val="roman"/>
    <w:pitch w:val="default"/>
    <w:sig w:usb0="E0000AFF" w:usb1="00007843" w:usb2="00000001" w:usb3="00000000" w:csb0="400001BF" w:csb1="DFF70000"/>
  </w:font>
  <w:font w:name="Times New Roman Italic">
    <w:panose1 w:val="02020503050405090304"/>
    <w:charset w:val="00"/>
    <w:family w:val="auto"/>
    <w:pitch w:val="default"/>
    <w:sig w:usb0="E0000AFF" w:usb1="00007843" w:usb2="00000001" w:usb3="00000000" w:csb0="400001BF" w:csb1="DFF70000"/>
  </w:font>
  <w:font w:name="Times New Roman Bold">
    <w:panose1 w:val="02020803070505020304"/>
    <w:charset w:val="00"/>
    <w:family w:val="roman"/>
    <w:pitch w:val="default"/>
    <w:sig w:usb0="E0000AFF" w:usb1="00007843" w:usb2="00000001" w:usb3="00000000" w:csb0="400001BF" w:csb1="DFF70000"/>
  </w:font>
  <w:font w:name="Times New Roman Bold Italic">
    <w:panose1 w:val="02020703060505090304"/>
    <w:charset w:val="00"/>
    <w:family w:val="auto"/>
    <w:pitch w:val="default"/>
    <w:sig w:usb0="E0000AFF" w:usb1="00007843" w:usb2="00000001" w:usb3="00000000" w:csb0="400001BF" w:csb1="DFF7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062501" w14:textId="77777777" w:rsidR="00FB306E" w:rsidRDefault="00FB306E">
      <w:r>
        <w:separator/>
      </w:r>
    </w:p>
  </w:footnote>
  <w:footnote w:type="continuationSeparator" w:id="0">
    <w:p w14:paraId="6B3A5FE1" w14:textId="77777777" w:rsidR="00FB306E" w:rsidRDefault="00FB30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F6B32DC"/>
    <w:multiLevelType w:val="singleLevel"/>
    <w:tmpl w:val="5F6B32DC"/>
    <w:lvl w:ilvl="0">
      <w:start w:val="1"/>
      <w:numFmt w:val="upperLetter"/>
      <w:suff w:val="space"/>
      <w:lvlText w:val="(%1)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5853"/>
    <w:rsid w:val="B7F738AC"/>
    <w:rsid w:val="DF4E1E7A"/>
    <w:rsid w:val="EF7E2CF6"/>
    <w:rsid w:val="FBBD9557"/>
    <w:rsid w:val="FDD6FC15"/>
    <w:rsid w:val="FFD20B11"/>
    <w:rsid w:val="00015211"/>
    <w:rsid w:val="004342CE"/>
    <w:rsid w:val="00537D10"/>
    <w:rsid w:val="005808F6"/>
    <w:rsid w:val="005A5A2E"/>
    <w:rsid w:val="00664107"/>
    <w:rsid w:val="006A5A0C"/>
    <w:rsid w:val="007F2D46"/>
    <w:rsid w:val="00867B15"/>
    <w:rsid w:val="009B7CA8"/>
    <w:rsid w:val="00A03452"/>
    <w:rsid w:val="00A115CC"/>
    <w:rsid w:val="00B302D4"/>
    <w:rsid w:val="00BB647F"/>
    <w:rsid w:val="00C527F0"/>
    <w:rsid w:val="00CA0ACE"/>
    <w:rsid w:val="00DC5853"/>
    <w:rsid w:val="00E125BD"/>
    <w:rsid w:val="00FB306E"/>
    <w:rsid w:val="79CD0A3D"/>
    <w:rsid w:val="7B7BB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744135"/>
  <w15:docId w15:val="{924D4308-CB97-4A4D-9E7B-5DBB0F4832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1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eastAsiaTheme="majorEastAsia" w:cstheme="majorBidi"/>
      <w:i/>
      <w:iCs/>
      <w:color w:val="262626" w:themeColor="text1" w:themeTint="D9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262626" w:themeColor="text1" w:themeTint="D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320"/>
        <w:tab w:val="right" w:pos="8640"/>
      </w:tabs>
    </w:pPr>
  </w:style>
  <w:style w:type="paragraph" w:styleId="a5">
    <w:name w:val="header"/>
    <w:basedOn w:val="a"/>
    <w:link w:val="a6"/>
    <w:uiPriority w:val="99"/>
    <w:unhideWhenUsed/>
    <w:pPr>
      <w:tabs>
        <w:tab w:val="center" w:pos="4320"/>
        <w:tab w:val="right" w:pos="8640"/>
      </w:tabs>
    </w:pPr>
  </w:style>
  <w:style w:type="paragraph" w:styleId="a7">
    <w:name w:val="Subtitle"/>
    <w:basedOn w:val="a"/>
    <w:next w:val="a"/>
    <w:link w:val="a8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9">
    <w:name w:val="Title"/>
    <w:basedOn w:val="a"/>
    <w:next w:val="a"/>
    <w:link w:val="aa"/>
    <w:uiPriority w:val="10"/>
    <w:qFormat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标题 1 字符"/>
    <w:basedOn w:val="a0"/>
    <w:link w:val="1"/>
    <w:uiPriority w:val="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标题 2 字符"/>
    <w:basedOn w:val="a0"/>
    <w:link w:val="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标题 4 字符"/>
    <w:basedOn w:val="a0"/>
    <w:link w:val="4"/>
    <w:uiPriority w:val="9"/>
    <w:semiHidden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标题 5 字符"/>
    <w:basedOn w:val="a0"/>
    <w:link w:val="5"/>
    <w:uiPriority w:val="9"/>
    <w:semiHidden/>
    <w:rPr>
      <w:rFonts w:eastAsiaTheme="majorEastAsia" w:cstheme="majorBidi"/>
      <w:color w:val="2F5496" w:themeColor="accent1" w:themeShade="BF"/>
    </w:rPr>
  </w:style>
  <w:style w:type="character" w:customStyle="1" w:styleId="60">
    <w:name w:val="标题 6 字符"/>
    <w:basedOn w:val="a0"/>
    <w:link w:val="6"/>
    <w:uiPriority w:val="9"/>
    <w:semiHidden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标题 7 字符"/>
    <w:basedOn w:val="a0"/>
    <w:link w:val="7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Pr>
      <w:rFonts w:eastAsiaTheme="majorEastAsia" w:cstheme="majorBidi"/>
      <w:i/>
      <w:iCs/>
      <w:color w:val="262626" w:themeColor="text1" w:themeTint="D9"/>
    </w:rPr>
  </w:style>
  <w:style w:type="character" w:customStyle="1" w:styleId="90">
    <w:name w:val="标题 9 字符"/>
    <w:basedOn w:val="a0"/>
    <w:link w:val="9"/>
    <w:uiPriority w:val="9"/>
    <w:semiHidden/>
    <w:rPr>
      <w:rFonts w:eastAsiaTheme="majorEastAsia" w:cstheme="majorBidi"/>
      <w:color w:val="262626" w:themeColor="text1" w:themeTint="D9"/>
    </w:rPr>
  </w:style>
  <w:style w:type="character" w:customStyle="1" w:styleId="aa">
    <w:name w:val="标题 字符"/>
    <w:basedOn w:val="a0"/>
    <w:link w:val="a9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副标题 字符"/>
    <w:basedOn w:val="a0"/>
    <w:link w:val="a7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b">
    <w:name w:val="Quote"/>
    <w:basedOn w:val="a"/>
    <w:next w:val="a"/>
    <w:link w:val="ac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c">
    <w:name w:val="引用 字符"/>
    <w:basedOn w:val="a0"/>
    <w:link w:val="ab"/>
    <w:uiPriority w:val="29"/>
    <w:rPr>
      <w:i/>
      <w:iCs/>
      <w:color w:val="404040" w:themeColor="text1" w:themeTint="BF"/>
    </w:rPr>
  </w:style>
  <w:style w:type="paragraph" w:styleId="ad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2F5496" w:themeColor="accent1" w:themeShade="BF"/>
    </w:rPr>
  </w:style>
  <w:style w:type="paragraph" w:styleId="ae">
    <w:name w:val="Intense Quote"/>
    <w:basedOn w:val="a"/>
    <w:next w:val="a"/>
    <w:link w:val="af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f">
    <w:name w:val="明显引用 字符"/>
    <w:basedOn w:val="a0"/>
    <w:link w:val="ae"/>
    <w:uiPriority w:val="30"/>
    <w:rPr>
      <w:i/>
      <w:iCs/>
      <w:color w:val="2F5496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2F5496" w:themeColor="accent1" w:themeShade="BF"/>
      <w:spacing w:val="5"/>
    </w:rPr>
  </w:style>
  <w:style w:type="character" w:customStyle="1" w:styleId="a6">
    <w:name w:val="页眉 字符"/>
    <w:basedOn w:val="a0"/>
    <w:link w:val="a5"/>
    <w:uiPriority w:val="99"/>
  </w:style>
  <w:style w:type="character" w:customStyle="1" w:styleId="a4">
    <w:name w:val="页脚 字符"/>
    <w:basedOn w:val="a0"/>
    <w:link w:val="a3"/>
    <w:uiPriority w:val="99"/>
  </w:style>
  <w:style w:type="character" w:styleId="af0">
    <w:name w:val="line number"/>
    <w:basedOn w:val="a0"/>
    <w:uiPriority w:val="99"/>
    <w:semiHidden/>
    <w:unhideWhenUsed/>
    <w:rsid w:val="005A5A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1843</Words>
  <Characters>10511</Characters>
  <Application>Microsoft Office Word</Application>
  <DocSecurity>0</DocSecurity>
  <Lines>87</Lines>
  <Paragraphs>24</Paragraphs>
  <ScaleCrop>false</ScaleCrop>
  <Company/>
  <LinksUpToDate>false</LinksUpToDate>
  <CharactersWithSpaces>12330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Editor</dc:creator>
  <cp:lastModifiedBy>Lucia</cp:lastModifiedBy>
  <cp:revision>3</cp:revision>
  <dcterms:created xsi:type="dcterms:W3CDTF">2026-07-06T10:17:00Z</dcterms:created>
  <dcterms:modified xsi:type="dcterms:W3CDTF">2026-07-07T07:54:00Z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2052-6.5.2.8766</vt:lpwstr>
  </property>
  <property fmtid="{D5CDD505-2E9C-101B-9397-08002B2CF9AE}" pid="3" name="ICV">
    <vt:lpwstr>234F344C8EAA0F15B3863C6ACDF1F17E_42</vt:lpwstr>
  </property>
</Properties>
</file>